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D470C">
      <w:pPr>
        <w:pStyle w:val="16"/>
        <w:tabs>
          <w:tab w:val="center" w:pos="4213"/>
        </w:tabs>
        <w:spacing w:line="560" w:lineRule="exact"/>
        <w:jc w:val="center"/>
        <w:rPr>
          <w:rFonts w:ascii="Times New Roman" w:hAnsi="Times New Roman" w:eastAsia="方正小标宋_GBK" w:cs="方正小标宋_GBK"/>
          <w:sz w:val="44"/>
          <w:szCs w:val="44"/>
          <w:highlight w:val="none"/>
        </w:rPr>
      </w:pPr>
      <w:r>
        <w:rPr>
          <w:rFonts w:hint="eastAsia" w:ascii="Times New Roman" w:hAnsi="Times New Roman" w:eastAsia="方正小标宋_GBK" w:cs="方正小标宋_GBK"/>
          <w:sz w:val="44"/>
          <w:szCs w:val="44"/>
          <w:highlight w:val="none"/>
        </w:rPr>
        <w:tab/>
      </w:r>
    </w:p>
    <w:p w14:paraId="7D2196B5">
      <w:pPr>
        <w:pStyle w:val="16"/>
        <w:tabs>
          <w:tab w:val="center" w:pos="4213"/>
        </w:tabs>
        <w:spacing w:line="560" w:lineRule="exact"/>
        <w:jc w:val="center"/>
        <w:rPr>
          <w:rFonts w:ascii="Times New Roman" w:hAnsi="Times New Roman" w:eastAsia="方正小标宋_GBK" w:cs="方正小标宋_GBK"/>
          <w:sz w:val="44"/>
          <w:szCs w:val="44"/>
          <w:highlight w:val="none"/>
        </w:rPr>
      </w:pPr>
    </w:p>
    <w:p w14:paraId="18B35434">
      <w:pPr>
        <w:pStyle w:val="16"/>
        <w:tabs>
          <w:tab w:val="center" w:pos="4213"/>
        </w:tabs>
        <w:spacing w:line="560" w:lineRule="exact"/>
        <w:jc w:val="center"/>
        <w:rPr>
          <w:rFonts w:ascii="Times New Roman" w:hAnsi="Times New Roman" w:eastAsia="方正小标宋_GBK" w:cs="方正小标宋_GBK"/>
          <w:sz w:val="44"/>
          <w:szCs w:val="44"/>
          <w:highlight w:val="none"/>
        </w:rPr>
      </w:pPr>
    </w:p>
    <w:p w14:paraId="39D36E81">
      <w:pPr>
        <w:pStyle w:val="16"/>
        <w:tabs>
          <w:tab w:val="center" w:pos="4213"/>
        </w:tabs>
        <w:spacing w:line="560" w:lineRule="exact"/>
        <w:jc w:val="center"/>
        <w:rPr>
          <w:rFonts w:ascii="Times New Roman" w:hAnsi="Times New Roman" w:eastAsia="方正小标宋_GBK" w:cs="方正小标宋_GBK"/>
          <w:sz w:val="44"/>
          <w:szCs w:val="44"/>
          <w:highlight w:val="none"/>
        </w:rPr>
      </w:pPr>
    </w:p>
    <w:p w14:paraId="48F65F4F">
      <w:pPr>
        <w:pStyle w:val="16"/>
        <w:tabs>
          <w:tab w:val="center" w:pos="4213"/>
        </w:tabs>
        <w:spacing w:line="560" w:lineRule="exact"/>
        <w:jc w:val="center"/>
        <w:rPr>
          <w:rFonts w:ascii="Times New Roman" w:hAnsi="Times New Roman" w:eastAsia="方正小标宋_GBK" w:cs="方正小标宋_GBK"/>
          <w:sz w:val="44"/>
          <w:szCs w:val="44"/>
          <w:highlight w:val="none"/>
        </w:rPr>
      </w:pPr>
    </w:p>
    <w:p w14:paraId="7E318C46">
      <w:pPr>
        <w:pStyle w:val="16"/>
        <w:tabs>
          <w:tab w:val="center" w:pos="4213"/>
        </w:tabs>
        <w:spacing w:line="560" w:lineRule="exact"/>
        <w:jc w:val="center"/>
        <w:rPr>
          <w:rFonts w:ascii="Times New Roman" w:hAnsi="Times New Roman" w:eastAsia="方正小标宋_GBK" w:cs="方正小标宋_GBK"/>
          <w:sz w:val="44"/>
          <w:szCs w:val="44"/>
          <w:highlight w:val="none"/>
        </w:rPr>
      </w:pPr>
    </w:p>
    <w:p w14:paraId="49B0BA2C">
      <w:pPr>
        <w:pStyle w:val="16"/>
        <w:tabs>
          <w:tab w:val="center" w:pos="4213"/>
        </w:tabs>
        <w:spacing w:line="560" w:lineRule="exact"/>
        <w:jc w:val="center"/>
        <w:rPr>
          <w:rFonts w:ascii="Times New Roman" w:hAnsi="Times New Roman" w:eastAsia="方正小标宋_GBK" w:cs="方正小标宋_GBK"/>
          <w:sz w:val="44"/>
          <w:szCs w:val="44"/>
          <w:highlight w:val="none"/>
        </w:rPr>
      </w:pPr>
    </w:p>
    <w:p w14:paraId="4C56ABA5">
      <w:pPr>
        <w:pStyle w:val="16"/>
        <w:tabs>
          <w:tab w:val="center" w:pos="4213"/>
        </w:tabs>
        <w:spacing w:line="560" w:lineRule="exact"/>
        <w:jc w:val="center"/>
        <w:rPr>
          <w:rFonts w:hint="eastAsia" w:ascii="Times New Roman" w:hAnsi="Times New Roman" w:eastAsia="方正小标宋_GBK" w:cs="方正小标宋_GBK"/>
          <w:sz w:val="40"/>
          <w:szCs w:val="40"/>
          <w:highlight w:val="none"/>
        </w:rPr>
      </w:pPr>
      <w:r>
        <w:rPr>
          <w:rFonts w:hint="eastAsia" w:ascii="Times New Roman" w:hAnsi="Times New Roman" w:eastAsia="方正小标宋_GBK" w:cs="方正小标宋_GBK"/>
          <w:sz w:val="40"/>
          <w:szCs w:val="40"/>
          <w:highlight w:val="none"/>
        </w:rPr>
        <w:t>电力市场计量结算基本规则</w:t>
      </w:r>
    </w:p>
    <w:p w14:paraId="46CEB5C6">
      <w:pPr>
        <w:pStyle w:val="16"/>
        <w:tabs>
          <w:tab w:val="center" w:pos="4213"/>
        </w:tabs>
        <w:spacing w:line="560" w:lineRule="exact"/>
        <w:jc w:val="center"/>
        <w:rPr>
          <w:rFonts w:hint="eastAsia" w:ascii="Times New Roman" w:hAnsi="Times New Roman" w:eastAsia="方正楷体_GBK" w:cs="方正楷体_GBK"/>
          <w:sz w:val="36"/>
          <w:szCs w:val="36"/>
          <w:highlight w:val="none"/>
        </w:rPr>
      </w:pPr>
      <w:r>
        <w:rPr>
          <w:rFonts w:hint="eastAsia" w:ascii="Times New Roman" w:hAnsi="Times New Roman" w:eastAsia="方正楷体_GBK" w:cs="方正楷体_GBK"/>
          <w:sz w:val="36"/>
          <w:szCs w:val="36"/>
          <w:highlight w:val="none"/>
        </w:rPr>
        <w:t>（</w:t>
      </w:r>
      <w:r>
        <w:rPr>
          <w:rFonts w:hint="eastAsia" w:eastAsia="方正楷体_GBK" w:cs="方正楷体_GBK"/>
          <w:sz w:val="36"/>
          <w:szCs w:val="36"/>
          <w:highlight w:val="none"/>
          <w:lang w:val="en-US" w:eastAsia="zh-CN"/>
        </w:rPr>
        <w:t>公开</w:t>
      </w:r>
      <w:r>
        <w:rPr>
          <w:rFonts w:hint="eastAsia" w:ascii="Times New Roman" w:hAnsi="Times New Roman" w:eastAsia="方正楷体_GBK" w:cs="方正楷体_GBK"/>
          <w:sz w:val="36"/>
          <w:szCs w:val="36"/>
          <w:highlight w:val="none"/>
          <w:lang w:val="en-US" w:eastAsia="zh-CN"/>
        </w:rPr>
        <w:t>征求意见稿</w:t>
      </w:r>
      <w:r>
        <w:rPr>
          <w:rFonts w:hint="eastAsia" w:ascii="Times New Roman" w:hAnsi="Times New Roman" w:eastAsia="方正楷体_GBK" w:cs="方正楷体_GBK"/>
          <w:sz w:val="36"/>
          <w:szCs w:val="36"/>
          <w:highlight w:val="none"/>
        </w:rPr>
        <w:t>）</w:t>
      </w:r>
    </w:p>
    <w:p w14:paraId="40D7B980">
      <w:pPr>
        <w:pStyle w:val="16"/>
        <w:tabs>
          <w:tab w:val="center" w:pos="4213"/>
        </w:tabs>
        <w:spacing w:line="560" w:lineRule="exact"/>
        <w:jc w:val="center"/>
        <w:rPr>
          <w:rFonts w:hint="eastAsia" w:ascii="Times New Roman" w:hAnsi="Times New Roman" w:eastAsia="方正小标宋_GBK" w:cs="方正小标宋_GBK"/>
          <w:sz w:val="44"/>
          <w:szCs w:val="44"/>
          <w:highlight w:val="none"/>
        </w:rPr>
      </w:pPr>
    </w:p>
    <w:p w14:paraId="3BD001C1">
      <w:pPr>
        <w:pStyle w:val="16"/>
        <w:tabs>
          <w:tab w:val="center" w:pos="4213"/>
        </w:tabs>
        <w:spacing w:line="560" w:lineRule="exact"/>
        <w:jc w:val="center"/>
        <w:rPr>
          <w:rFonts w:hint="eastAsia" w:ascii="Times New Roman" w:hAnsi="Times New Roman" w:eastAsia="方正小标宋_GBK" w:cs="方正小标宋_GBK"/>
          <w:sz w:val="44"/>
          <w:szCs w:val="44"/>
          <w:highlight w:val="none"/>
        </w:rPr>
      </w:pPr>
    </w:p>
    <w:p w14:paraId="76A65823">
      <w:pPr>
        <w:pStyle w:val="16"/>
        <w:tabs>
          <w:tab w:val="center" w:pos="4213"/>
        </w:tabs>
        <w:spacing w:line="560" w:lineRule="exact"/>
        <w:jc w:val="center"/>
        <w:rPr>
          <w:rFonts w:hint="eastAsia" w:ascii="Times New Roman" w:hAnsi="Times New Roman" w:eastAsia="方正小标宋_GBK" w:cs="方正小标宋_GBK"/>
          <w:sz w:val="44"/>
          <w:szCs w:val="44"/>
          <w:highlight w:val="none"/>
        </w:rPr>
      </w:pPr>
    </w:p>
    <w:p w14:paraId="0CFB81E7">
      <w:pPr>
        <w:pStyle w:val="16"/>
        <w:tabs>
          <w:tab w:val="center" w:pos="4213"/>
        </w:tabs>
        <w:spacing w:line="560" w:lineRule="exact"/>
        <w:jc w:val="center"/>
        <w:rPr>
          <w:rFonts w:hint="eastAsia" w:ascii="Times New Roman" w:hAnsi="Times New Roman" w:eastAsia="方正小标宋_GBK" w:cs="方正小标宋_GBK"/>
          <w:sz w:val="44"/>
          <w:szCs w:val="44"/>
          <w:highlight w:val="none"/>
        </w:rPr>
      </w:pPr>
    </w:p>
    <w:p w14:paraId="14D95909">
      <w:pPr>
        <w:pStyle w:val="16"/>
        <w:tabs>
          <w:tab w:val="center" w:pos="4213"/>
        </w:tabs>
        <w:spacing w:line="560" w:lineRule="exact"/>
        <w:jc w:val="center"/>
        <w:rPr>
          <w:rFonts w:hint="eastAsia" w:ascii="Times New Roman" w:hAnsi="Times New Roman" w:eastAsia="方正小标宋_GBK" w:cs="方正小标宋_GBK"/>
          <w:sz w:val="44"/>
          <w:szCs w:val="44"/>
          <w:highlight w:val="none"/>
        </w:rPr>
      </w:pPr>
    </w:p>
    <w:p w14:paraId="396C50BF">
      <w:pPr>
        <w:pStyle w:val="16"/>
        <w:tabs>
          <w:tab w:val="center" w:pos="4213"/>
        </w:tabs>
        <w:spacing w:line="560" w:lineRule="exact"/>
        <w:jc w:val="center"/>
        <w:rPr>
          <w:rFonts w:hint="eastAsia" w:ascii="Times New Roman" w:hAnsi="Times New Roman" w:eastAsia="方正小标宋_GBK" w:cs="方正小标宋_GBK"/>
          <w:sz w:val="44"/>
          <w:szCs w:val="44"/>
          <w:highlight w:val="none"/>
        </w:rPr>
      </w:pPr>
    </w:p>
    <w:p w14:paraId="74A14CDE">
      <w:pPr>
        <w:pStyle w:val="16"/>
        <w:tabs>
          <w:tab w:val="center" w:pos="4213"/>
        </w:tabs>
        <w:spacing w:line="560" w:lineRule="exact"/>
        <w:jc w:val="center"/>
        <w:rPr>
          <w:rFonts w:hint="eastAsia" w:ascii="Times New Roman" w:hAnsi="Times New Roman" w:eastAsia="方正小标宋_GBK" w:cs="方正小标宋_GBK"/>
          <w:sz w:val="44"/>
          <w:szCs w:val="44"/>
          <w:highlight w:val="none"/>
        </w:rPr>
      </w:pPr>
    </w:p>
    <w:p w14:paraId="4FC1B014">
      <w:pPr>
        <w:pStyle w:val="16"/>
        <w:tabs>
          <w:tab w:val="center" w:pos="4213"/>
        </w:tabs>
        <w:spacing w:line="560" w:lineRule="exact"/>
        <w:jc w:val="center"/>
        <w:rPr>
          <w:rFonts w:hint="eastAsia" w:ascii="Times New Roman" w:hAnsi="Times New Roman" w:eastAsia="方正小标宋_GBK" w:cs="方正小标宋_GBK"/>
          <w:sz w:val="44"/>
          <w:szCs w:val="44"/>
          <w:highlight w:val="none"/>
        </w:rPr>
      </w:pPr>
    </w:p>
    <w:p w14:paraId="69289840">
      <w:pPr>
        <w:pStyle w:val="16"/>
        <w:tabs>
          <w:tab w:val="center" w:pos="4213"/>
        </w:tabs>
        <w:spacing w:line="560" w:lineRule="exact"/>
        <w:jc w:val="center"/>
        <w:rPr>
          <w:rFonts w:hint="eastAsia" w:ascii="Times New Roman" w:hAnsi="Times New Roman" w:eastAsia="方正小标宋_GBK" w:cs="方正小标宋_GBK"/>
          <w:sz w:val="44"/>
          <w:szCs w:val="44"/>
          <w:highlight w:val="none"/>
        </w:rPr>
      </w:pPr>
    </w:p>
    <w:p w14:paraId="2FE65048">
      <w:pPr>
        <w:pStyle w:val="16"/>
        <w:tabs>
          <w:tab w:val="center" w:pos="4213"/>
        </w:tabs>
        <w:spacing w:line="560" w:lineRule="exact"/>
        <w:jc w:val="center"/>
        <w:rPr>
          <w:rFonts w:hint="eastAsia" w:ascii="Times New Roman" w:hAnsi="Times New Roman" w:eastAsia="方正小标宋_GBK" w:cs="方正小标宋_GBK"/>
          <w:sz w:val="44"/>
          <w:szCs w:val="44"/>
          <w:highlight w:val="none"/>
        </w:rPr>
      </w:pPr>
    </w:p>
    <w:p w14:paraId="58783D56">
      <w:pPr>
        <w:pStyle w:val="16"/>
        <w:tabs>
          <w:tab w:val="center" w:pos="4213"/>
        </w:tabs>
        <w:spacing w:line="560" w:lineRule="exact"/>
        <w:jc w:val="center"/>
        <w:rPr>
          <w:rFonts w:hint="eastAsia" w:ascii="Times New Roman" w:hAnsi="Times New Roman" w:eastAsia="方正小标宋_GBK" w:cs="方正小标宋_GBK"/>
          <w:sz w:val="44"/>
          <w:szCs w:val="44"/>
          <w:highlight w:val="none"/>
        </w:rPr>
      </w:pPr>
    </w:p>
    <w:p w14:paraId="6912B98D">
      <w:pPr>
        <w:pStyle w:val="16"/>
        <w:tabs>
          <w:tab w:val="center" w:pos="4213"/>
        </w:tabs>
        <w:spacing w:line="560" w:lineRule="exact"/>
        <w:jc w:val="center"/>
        <w:rPr>
          <w:rFonts w:hint="eastAsia" w:ascii="Times New Roman" w:hAnsi="Times New Roman" w:eastAsia="方正小标宋_GBK" w:cs="方正小标宋_GBK"/>
          <w:sz w:val="44"/>
          <w:szCs w:val="44"/>
          <w:highlight w:val="none"/>
        </w:rPr>
      </w:pPr>
    </w:p>
    <w:p w14:paraId="23694262">
      <w:pPr>
        <w:rPr>
          <w:rFonts w:ascii="Times New Roman" w:hAnsi="Times New Roman"/>
          <w:highlight w:val="none"/>
        </w:rPr>
      </w:pPr>
      <w:r>
        <w:rPr>
          <w:rFonts w:hint="eastAsia" w:ascii="Times New Roman" w:hAnsi="Times New Roman" w:eastAsia="方正小标宋_GBK" w:cs="方正小标宋_GBK"/>
          <w:sz w:val="44"/>
          <w:szCs w:val="44"/>
          <w:highlight w:val="none"/>
        </w:rPr>
        <w:br w:type="page"/>
      </w:r>
    </w:p>
    <w:p w14:paraId="2E2E00AD">
      <w:pPr>
        <w:pStyle w:val="16"/>
        <w:tabs>
          <w:tab w:val="center" w:pos="4213"/>
        </w:tabs>
        <w:spacing w:line="560" w:lineRule="exact"/>
        <w:jc w:val="center"/>
        <w:rPr>
          <w:rFonts w:ascii="Times New Roman" w:hAnsi="Times New Roman" w:eastAsia="方正小标宋_GBK" w:cs="方正小标宋_GBK"/>
          <w:sz w:val="44"/>
          <w:szCs w:val="44"/>
          <w:highlight w:val="none"/>
        </w:rPr>
      </w:pPr>
    </w:p>
    <w:p w14:paraId="66F95F97">
      <w:pPr>
        <w:pStyle w:val="16"/>
        <w:tabs>
          <w:tab w:val="right" w:pos="8306"/>
        </w:tabs>
        <w:spacing w:line="560" w:lineRule="exact"/>
        <w:jc w:val="left"/>
        <w:rPr>
          <w:rFonts w:ascii="Times New Roman" w:hAnsi="Times New Roman" w:eastAsia="华文仿宋" w:cs="华文仿宋"/>
          <w:b/>
          <w:bCs/>
          <w:sz w:val="48"/>
          <w:szCs w:val="48"/>
          <w:highlight w:val="none"/>
        </w:rPr>
      </w:pPr>
      <w:r>
        <w:rPr>
          <w:rFonts w:hint="eastAsia" w:ascii="Times New Roman" w:hAnsi="Times New Roman" w:eastAsia="华文仿宋" w:cs="华文仿宋"/>
          <w:b/>
          <w:bCs/>
          <w:sz w:val="48"/>
          <w:szCs w:val="48"/>
          <w:highlight w:val="none"/>
        </w:rPr>
        <w:tab/>
      </w:r>
    </w:p>
    <w:p w14:paraId="7392F8B2">
      <w:pPr>
        <w:jc w:val="center"/>
        <w:rPr>
          <w:rFonts w:hint="eastAsia" w:ascii="Times New Roman" w:hAnsi="Times New Roman" w:eastAsia="黑体" w:cs="黑体"/>
          <w:sz w:val="32"/>
          <w:szCs w:val="32"/>
          <w:highlight w:val="none"/>
        </w:rPr>
      </w:pPr>
      <w:r>
        <w:rPr>
          <w:rFonts w:hint="eastAsia" w:ascii="Times New Roman" w:hAnsi="Times New Roman" w:eastAsia="黑体" w:cs="黑体"/>
          <w:sz w:val="32"/>
          <w:szCs w:val="32"/>
          <w:highlight w:val="none"/>
        </w:rPr>
        <w:t>目</w:t>
      </w:r>
      <w:r>
        <w:rPr>
          <w:rFonts w:hint="eastAsia" w:ascii="Times New Roman" w:hAnsi="Times New Roman" w:eastAsia="黑体" w:cs="黑体"/>
          <w:sz w:val="32"/>
          <w:szCs w:val="32"/>
          <w:highlight w:val="none"/>
          <w:lang w:val="en-US" w:eastAsia="zh-CN"/>
        </w:rPr>
        <w:t xml:space="preserve">  </w:t>
      </w:r>
      <w:r>
        <w:rPr>
          <w:rFonts w:hint="eastAsia" w:ascii="Times New Roman" w:hAnsi="Times New Roman" w:eastAsia="黑体" w:cs="黑体"/>
          <w:sz w:val="32"/>
          <w:szCs w:val="32"/>
          <w:highlight w:val="none"/>
        </w:rPr>
        <w:t>录</w:t>
      </w:r>
    </w:p>
    <w:p w14:paraId="4DBCAA50">
      <w:pPr>
        <w:pStyle w:val="2"/>
      </w:pPr>
    </w:p>
    <w:p w14:paraId="46E322FB">
      <w:pPr>
        <w:pStyle w:val="10"/>
        <w:tabs>
          <w:tab w:val="right" w:leader="dot" w:pos="8306"/>
        </w:tabs>
        <w:rPr>
          <w:sz w:val="32"/>
          <w:szCs w:val="32"/>
        </w:rPr>
      </w:pPr>
      <w:r>
        <w:rPr>
          <w:rFonts w:hint="eastAsia" w:ascii="Times New Roman" w:hAnsi="Times New Roman" w:eastAsia="仿宋_GB2312" w:cs="Times New Roman"/>
          <w:bCs/>
          <w:sz w:val="32"/>
          <w:szCs w:val="32"/>
          <w:highlight w:val="none"/>
        </w:rPr>
        <w:fldChar w:fldCharType="begin"/>
      </w:r>
      <w:r>
        <w:rPr>
          <w:rFonts w:hint="eastAsia" w:ascii="Times New Roman" w:hAnsi="Times New Roman" w:eastAsia="仿宋_GB2312" w:cs="Times New Roman"/>
          <w:bCs/>
          <w:sz w:val="32"/>
          <w:szCs w:val="32"/>
          <w:highlight w:val="none"/>
        </w:rPr>
        <w:instrText xml:space="preserve">TOC \o "1-2" \h \u </w:instrText>
      </w:r>
      <w:r>
        <w:rPr>
          <w:rFonts w:hint="eastAsia" w:ascii="Times New Roman" w:hAnsi="Times New Roman" w:eastAsia="仿宋_GB2312" w:cs="Times New Roman"/>
          <w:bCs/>
          <w:sz w:val="32"/>
          <w:szCs w:val="32"/>
          <w:highlight w:val="none"/>
        </w:rPr>
        <w:fldChar w:fldCharType="separate"/>
      </w:r>
      <w:r>
        <w:rPr>
          <w:rFonts w:hint="eastAsia" w:ascii="Times New Roman" w:hAnsi="Times New Roman" w:eastAsia="仿宋_GB2312" w:cs="Times New Roman"/>
          <w:bCs/>
          <w:sz w:val="32"/>
          <w:szCs w:val="32"/>
          <w:highlight w:val="none"/>
        </w:rPr>
        <w:fldChar w:fldCharType="begin"/>
      </w:r>
      <w:r>
        <w:rPr>
          <w:rFonts w:hint="eastAsia" w:ascii="Times New Roman" w:hAnsi="Times New Roman" w:eastAsia="仿宋_GB2312" w:cs="Times New Roman"/>
          <w:bCs/>
          <w:sz w:val="32"/>
          <w:szCs w:val="32"/>
          <w:highlight w:val="none"/>
        </w:rPr>
        <w:instrText xml:space="preserve"> HYPERLINK \l _Toc8424 </w:instrText>
      </w:r>
      <w:r>
        <w:rPr>
          <w:rFonts w:hint="eastAsia" w:ascii="Times New Roman" w:hAnsi="Times New Roman" w:eastAsia="仿宋_GB2312" w:cs="Times New Roman"/>
          <w:bCs/>
          <w:sz w:val="32"/>
          <w:szCs w:val="32"/>
          <w:highlight w:val="none"/>
        </w:rPr>
        <w:fldChar w:fldCharType="separate"/>
      </w:r>
      <w:r>
        <w:rPr>
          <w:rFonts w:hint="eastAsia" w:ascii="Times New Roman" w:hAnsi="Times New Roman" w:eastAsia="黑体" w:cs="黑体"/>
          <w:sz w:val="32"/>
          <w:szCs w:val="32"/>
          <w:highlight w:val="none"/>
        </w:rPr>
        <w:t>第一章 总则</w:t>
      </w:r>
      <w:r>
        <w:rPr>
          <w:sz w:val="32"/>
          <w:szCs w:val="32"/>
        </w:rPr>
        <w:tab/>
      </w:r>
      <w:r>
        <w:rPr>
          <w:sz w:val="32"/>
          <w:szCs w:val="32"/>
        </w:rPr>
        <w:fldChar w:fldCharType="begin"/>
      </w:r>
      <w:r>
        <w:rPr>
          <w:sz w:val="32"/>
          <w:szCs w:val="32"/>
        </w:rPr>
        <w:instrText xml:space="preserve"> PAGEREF _Toc8424 \h </w:instrText>
      </w:r>
      <w:r>
        <w:rPr>
          <w:sz w:val="32"/>
          <w:szCs w:val="32"/>
        </w:rPr>
        <w:fldChar w:fldCharType="separate"/>
      </w:r>
      <w:r>
        <w:rPr>
          <w:sz w:val="32"/>
          <w:szCs w:val="32"/>
        </w:rPr>
        <w:t>1</w:t>
      </w:r>
      <w:r>
        <w:rPr>
          <w:sz w:val="32"/>
          <w:szCs w:val="32"/>
        </w:rPr>
        <w:fldChar w:fldCharType="end"/>
      </w:r>
      <w:r>
        <w:rPr>
          <w:rFonts w:hint="eastAsia" w:ascii="Times New Roman" w:hAnsi="Times New Roman" w:eastAsia="仿宋_GB2312" w:cs="Times New Roman"/>
          <w:bCs/>
          <w:sz w:val="32"/>
          <w:szCs w:val="32"/>
          <w:highlight w:val="none"/>
        </w:rPr>
        <w:fldChar w:fldCharType="end"/>
      </w:r>
    </w:p>
    <w:p w14:paraId="19D9472B">
      <w:pPr>
        <w:pStyle w:val="10"/>
        <w:tabs>
          <w:tab w:val="right" w:leader="dot" w:pos="8306"/>
        </w:tabs>
        <w:rPr>
          <w:sz w:val="32"/>
          <w:szCs w:val="32"/>
        </w:rPr>
      </w:pPr>
      <w:r>
        <w:rPr>
          <w:rFonts w:hint="eastAsia" w:ascii="Times New Roman" w:hAnsi="Times New Roman" w:eastAsia="仿宋_GB2312" w:cs="Times New Roman"/>
          <w:bCs/>
          <w:sz w:val="32"/>
          <w:szCs w:val="32"/>
          <w:highlight w:val="none"/>
        </w:rPr>
        <w:fldChar w:fldCharType="begin"/>
      </w:r>
      <w:r>
        <w:rPr>
          <w:rFonts w:hint="eastAsia" w:ascii="Times New Roman" w:hAnsi="Times New Roman" w:eastAsia="仿宋_GB2312" w:cs="Times New Roman"/>
          <w:bCs/>
          <w:sz w:val="32"/>
          <w:szCs w:val="32"/>
          <w:highlight w:val="none"/>
        </w:rPr>
        <w:instrText xml:space="preserve"> HYPERLINK \l _Toc24582 </w:instrText>
      </w:r>
      <w:r>
        <w:rPr>
          <w:rFonts w:hint="eastAsia" w:ascii="Times New Roman" w:hAnsi="Times New Roman" w:eastAsia="仿宋_GB2312" w:cs="Times New Roman"/>
          <w:bCs/>
          <w:sz w:val="32"/>
          <w:szCs w:val="32"/>
          <w:highlight w:val="none"/>
        </w:rPr>
        <w:fldChar w:fldCharType="separate"/>
      </w:r>
      <w:r>
        <w:rPr>
          <w:rFonts w:hint="eastAsia" w:ascii="Times New Roman" w:hAnsi="Times New Roman" w:eastAsia="黑体" w:cs="黑体"/>
          <w:sz w:val="32"/>
          <w:szCs w:val="32"/>
          <w:highlight w:val="none"/>
        </w:rPr>
        <w:t>第二章 总体要求</w:t>
      </w:r>
      <w:r>
        <w:rPr>
          <w:sz w:val="32"/>
          <w:szCs w:val="32"/>
        </w:rPr>
        <w:tab/>
      </w:r>
      <w:r>
        <w:rPr>
          <w:sz w:val="32"/>
          <w:szCs w:val="32"/>
        </w:rPr>
        <w:fldChar w:fldCharType="begin"/>
      </w:r>
      <w:r>
        <w:rPr>
          <w:sz w:val="32"/>
          <w:szCs w:val="32"/>
        </w:rPr>
        <w:instrText xml:space="preserve"> PAGEREF _Toc24582 \h </w:instrText>
      </w:r>
      <w:r>
        <w:rPr>
          <w:sz w:val="32"/>
          <w:szCs w:val="32"/>
        </w:rPr>
        <w:fldChar w:fldCharType="separate"/>
      </w:r>
      <w:r>
        <w:rPr>
          <w:sz w:val="32"/>
          <w:szCs w:val="32"/>
        </w:rPr>
        <w:t>2</w:t>
      </w:r>
      <w:r>
        <w:rPr>
          <w:sz w:val="32"/>
          <w:szCs w:val="32"/>
        </w:rPr>
        <w:fldChar w:fldCharType="end"/>
      </w:r>
      <w:r>
        <w:rPr>
          <w:rFonts w:hint="eastAsia" w:ascii="Times New Roman" w:hAnsi="Times New Roman" w:eastAsia="仿宋_GB2312" w:cs="Times New Roman"/>
          <w:bCs/>
          <w:sz w:val="32"/>
          <w:szCs w:val="32"/>
          <w:highlight w:val="none"/>
        </w:rPr>
        <w:fldChar w:fldCharType="end"/>
      </w:r>
    </w:p>
    <w:p w14:paraId="4EE813AA">
      <w:pPr>
        <w:pStyle w:val="11"/>
        <w:tabs>
          <w:tab w:val="right" w:leader="dot" w:pos="8306"/>
        </w:tabs>
        <w:rPr>
          <w:sz w:val="32"/>
          <w:szCs w:val="32"/>
        </w:rPr>
      </w:pPr>
      <w:r>
        <w:rPr>
          <w:rFonts w:hint="eastAsia" w:ascii="Times New Roman" w:hAnsi="Times New Roman" w:eastAsia="仿宋_GB2312" w:cs="Times New Roman"/>
          <w:bCs/>
          <w:sz w:val="32"/>
          <w:szCs w:val="32"/>
          <w:highlight w:val="none"/>
        </w:rPr>
        <w:fldChar w:fldCharType="begin"/>
      </w:r>
      <w:r>
        <w:rPr>
          <w:rFonts w:hint="eastAsia" w:ascii="Times New Roman" w:hAnsi="Times New Roman" w:eastAsia="仿宋_GB2312" w:cs="Times New Roman"/>
          <w:bCs/>
          <w:sz w:val="32"/>
          <w:szCs w:val="32"/>
          <w:highlight w:val="none"/>
        </w:rPr>
        <w:instrText xml:space="preserve"> HYPERLINK \l _Toc28587 </w:instrText>
      </w:r>
      <w:r>
        <w:rPr>
          <w:rFonts w:hint="eastAsia" w:ascii="Times New Roman" w:hAnsi="Times New Roman" w:eastAsia="仿宋_GB2312" w:cs="Times New Roman"/>
          <w:bCs/>
          <w:sz w:val="32"/>
          <w:szCs w:val="32"/>
          <w:highlight w:val="none"/>
        </w:rPr>
        <w:fldChar w:fldCharType="separate"/>
      </w:r>
      <w:r>
        <w:rPr>
          <w:rFonts w:ascii="Times New Roman" w:hAnsi="Times New Roman" w:eastAsia="楷体_GB2312" w:cs="Times New Roman"/>
          <w:sz w:val="32"/>
          <w:szCs w:val="32"/>
          <w:highlight w:val="none"/>
          <w:lang w:val="zh-CN"/>
        </w:rPr>
        <w:t>第</w:t>
      </w:r>
      <w:r>
        <w:rPr>
          <w:rFonts w:hint="eastAsia" w:ascii="Times New Roman" w:hAnsi="Times New Roman" w:eastAsia="楷体_GB2312" w:cs="Times New Roman"/>
          <w:sz w:val="32"/>
          <w:szCs w:val="32"/>
          <w:highlight w:val="none"/>
        </w:rPr>
        <w:t>一</w:t>
      </w:r>
      <w:r>
        <w:rPr>
          <w:rFonts w:ascii="Times New Roman" w:hAnsi="Times New Roman" w:eastAsia="楷体_GB2312" w:cs="Times New Roman"/>
          <w:sz w:val="32"/>
          <w:szCs w:val="32"/>
          <w:highlight w:val="none"/>
          <w:lang w:val="zh-CN"/>
        </w:rPr>
        <w:t xml:space="preserve">节 </w:t>
      </w:r>
      <w:r>
        <w:rPr>
          <w:rFonts w:hint="eastAsia" w:ascii="Times New Roman" w:hAnsi="Times New Roman" w:eastAsia="楷体_GB2312" w:cs="Times New Roman"/>
          <w:sz w:val="32"/>
          <w:szCs w:val="32"/>
          <w:highlight w:val="none"/>
          <w:lang w:val="en-US" w:eastAsia="zh-CN"/>
        </w:rPr>
        <w:t>基本原则</w:t>
      </w:r>
      <w:r>
        <w:rPr>
          <w:sz w:val="32"/>
          <w:szCs w:val="32"/>
        </w:rPr>
        <w:tab/>
      </w:r>
      <w:r>
        <w:rPr>
          <w:sz w:val="32"/>
          <w:szCs w:val="32"/>
        </w:rPr>
        <w:fldChar w:fldCharType="begin"/>
      </w:r>
      <w:r>
        <w:rPr>
          <w:sz w:val="32"/>
          <w:szCs w:val="32"/>
        </w:rPr>
        <w:instrText xml:space="preserve"> PAGEREF _Toc28587 \h </w:instrText>
      </w:r>
      <w:r>
        <w:rPr>
          <w:sz w:val="32"/>
          <w:szCs w:val="32"/>
        </w:rPr>
        <w:fldChar w:fldCharType="separate"/>
      </w:r>
      <w:r>
        <w:rPr>
          <w:sz w:val="32"/>
          <w:szCs w:val="32"/>
        </w:rPr>
        <w:t>2</w:t>
      </w:r>
      <w:r>
        <w:rPr>
          <w:sz w:val="32"/>
          <w:szCs w:val="32"/>
        </w:rPr>
        <w:fldChar w:fldCharType="end"/>
      </w:r>
      <w:r>
        <w:rPr>
          <w:rFonts w:hint="eastAsia" w:ascii="Times New Roman" w:hAnsi="Times New Roman" w:eastAsia="仿宋_GB2312" w:cs="Times New Roman"/>
          <w:bCs/>
          <w:sz w:val="32"/>
          <w:szCs w:val="32"/>
          <w:highlight w:val="none"/>
        </w:rPr>
        <w:fldChar w:fldCharType="end"/>
      </w:r>
    </w:p>
    <w:p w14:paraId="37568ADC">
      <w:pPr>
        <w:pStyle w:val="11"/>
        <w:tabs>
          <w:tab w:val="right" w:leader="dot" w:pos="8306"/>
        </w:tabs>
        <w:rPr>
          <w:sz w:val="32"/>
          <w:szCs w:val="32"/>
        </w:rPr>
      </w:pPr>
      <w:r>
        <w:rPr>
          <w:rFonts w:hint="eastAsia" w:ascii="Times New Roman" w:hAnsi="Times New Roman" w:eastAsia="仿宋_GB2312" w:cs="Times New Roman"/>
          <w:bCs/>
          <w:sz w:val="32"/>
          <w:szCs w:val="32"/>
          <w:highlight w:val="none"/>
        </w:rPr>
        <w:fldChar w:fldCharType="begin"/>
      </w:r>
      <w:r>
        <w:rPr>
          <w:rFonts w:hint="eastAsia" w:ascii="Times New Roman" w:hAnsi="Times New Roman" w:eastAsia="仿宋_GB2312" w:cs="Times New Roman"/>
          <w:bCs/>
          <w:sz w:val="32"/>
          <w:szCs w:val="32"/>
          <w:highlight w:val="none"/>
        </w:rPr>
        <w:instrText xml:space="preserve"> HYPERLINK \l _Toc8240 </w:instrText>
      </w:r>
      <w:r>
        <w:rPr>
          <w:rFonts w:hint="eastAsia" w:ascii="Times New Roman" w:hAnsi="Times New Roman" w:eastAsia="仿宋_GB2312" w:cs="Times New Roman"/>
          <w:bCs/>
          <w:sz w:val="32"/>
          <w:szCs w:val="32"/>
          <w:highlight w:val="none"/>
        </w:rPr>
        <w:fldChar w:fldCharType="separate"/>
      </w:r>
      <w:r>
        <w:rPr>
          <w:rFonts w:ascii="Times New Roman" w:hAnsi="Times New Roman" w:eastAsia="楷体_GB2312" w:cs="Times New Roman"/>
          <w:sz w:val="32"/>
          <w:szCs w:val="32"/>
          <w:highlight w:val="none"/>
          <w:lang w:val="zh-CN"/>
        </w:rPr>
        <w:t>第</w:t>
      </w:r>
      <w:r>
        <w:rPr>
          <w:rFonts w:hint="eastAsia" w:ascii="Times New Roman" w:hAnsi="Times New Roman" w:eastAsia="楷体_GB2312" w:cs="Times New Roman"/>
          <w:sz w:val="32"/>
          <w:szCs w:val="32"/>
          <w:highlight w:val="none"/>
          <w:lang w:val="en-US" w:eastAsia="zh-CN"/>
        </w:rPr>
        <w:t>二</w:t>
      </w:r>
      <w:r>
        <w:rPr>
          <w:rFonts w:ascii="Times New Roman" w:hAnsi="Times New Roman" w:eastAsia="楷体_GB2312" w:cs="Times New Roman"/>
          <w:sz w:val="32"/>
          <w:szCs w:val="32"/>
          <w:highlight w:val="none"/>
          <w:lang w:val="zh-CN"/>
        </w:rPr>
        <w:t xml:space="preserve">节 </w:t>
      </w:r>
      <w:r>
        <w:rPr>
          <w:rFonts w:hint="eastAsia" w:ascii="Times New Roman" w:hAnsi="Times New Roman" w:eastAsia="楷体_GB2312" w:cs="Times New Roman"/>
          <w:sz w:val="32"/>
          <w:szCs w:val="32"/>
          <w:highlight w:val="none"/>
          <w:lang w:val="en-US" w:eastAsia="zh-CN"/>
        </w:rPr>
        <w:t>权利与义务</w:t>
      </w:r>
      <w:r>
        <w:rPr>
          <w:sz w:val="32"/>
          <w:szCs w:val="32"/>
        </w:rPr>
        <w:tab/>
      </w:r>
      <w:r>
        <w:rPr>
          <w:sz w:val="32"/>
          <w:szCs w:val="32"/>
        </w:rPr>
        <w:fldChar w:fldCharType="begin"/>
      </w:r>
      <w:r>
        <w:rPr>
          <w:sz w:val="32"/>
          <w:szCs w:val="32"/>
        </w:rPr>
        <w:instrText xml:space="preserve"> PAGEREF _Toc8240 \h </w:instrText>
      </w:r>
      <w:r>
        <w:rPr>
          <w:sz w:val="32"/>
          <w:szCs w:val="32"/>
        </w:rPr>
        <w:fldChar w:fldCharType="separate"/>
      </w:r>
      <w:r>
        <w:rPr>
          <w:sz w:val="32"/>
          <w:szCs w:val="32"/>
        </w:rPr>
        <w:t>4</w:t>
      </w:r>
      <w:r>
        <w:rPr>
          <w:sz w:val="32"/>
          <w:szCs w:val="32"/>
        </w:rPr>
        <w:fldChar w:fldCharType="end"/>
      </w:r>
      <w:r>
        <w:rPr>
          <w:rFonts w:hint="eastAsia" w:ascii="Times New Roman" w:hAnsi="Times New Roman" w:eastAsia="仿宋_GB2312" w:cs="Times New Roman"/>
          <w:bCs/>
          <w:sz w:val="32"/>
          <w:szCs w:val="32"/>
          <w:highlight w:val="none"/>
        </w:rPr>
        <w:fldChar w:fldCharType="end"/>
      </w:r>
    </w:p>
    <w:p w14:paraId="49F79E3F">
      <w:pPr>
        <w:pStyle w:val="10"/>
        <w:tabs>
          <w:tab w:val="right" w:leader="dot" w:pos="8306"/>
        </w:tabs>
        <w:rPr>
          <w:sz w:val="32"/>
          <w:szCs w:val="32"/>
        </w:rPr>
      </w:pPr>
      <w:r>
        <w:rPr>
          <w:rFonts w:hint="eastAsia" w:ascii="Times New Roman" w:hAnsi="Times New Roman" w:eastAsia="仿宋_GB2312" w:cs="Times New Roman"/>
          <w:bCs/>
          <w:sz w:val="32"/>
          <w:szCs w:val="32"/>
          <w:highlight w:val="none"/>
        </w:rPr>
        <w:fldChar w:fldCharType="begin"/>
      </w:r>
      <w:r>
        <w:rPr>
          <w:rFonts w:hint="eastAsia" w:ascii="Times New Roman" w:hAnsi="Times New Roman" w:eastAsia="仿宋_GB2312" w:cs="Times New Roman"/>
          <w:bCs/>
          <w:sz w:val="32"/>
          <w:szCs w:val="32"/>
          <w:highlight w:val="none"/>
        </w:rPr>
        <w:instrText xml:space="preserve"> HYPERLINK \l _Toc23797 </w:instrText>
      </w:r>
      <w:r>
        <w:rPr>
          <w:rFonts w:hint="eastAsia" w:ascii="Times New Roman" w:hAnsi="Times New Roman" w:eastAsia="仿宋_GB2312" w:cs="Times New Roman"/>
          <w:bCs/>
          <w:sz w:val="32"/>
          <w:szCs w:val="32"/>
          <w:highlight w:val="none"/>
        </w:rPr>
        <w:fldChar w:fldCharType="separate"/>
      </w:r>
      <w:r>
        <w:rPr>
          <w:rFonts w:hint="eastAsia" w:ascii="Times New Roman" w:hAnsi="Times New Roman" w:eastAsia="黑体" w:cs="黑体"/>
          <w:sz w:val="32"/>
          <w:szCs w:val="32"/>
          <w:highlight w:val="none"/>
        </w:rPr>
        <w:t>第</w:t>
      </w:r>
      <w:r>
        <w:rPr>
          <w:rFonts w:hint="eastAsia" w:ascii="Times New Roman" w:hAnsi="Times New Roman" w:eastAsia="黑体" w:cs="黑体"/>
          <w:sz w:val="32"/>
          <w:szCs w:val="32"/>
          <w:highlight w:val="none"/>
          <w:lang w:val="en-US" w:eastAsia="zh-CN"/>
        </w:rPr>
        <w:t>三</w:t>
      </w:r>
      <w:r>
        <w:rPr>
          <w:rFonts w:hint="eastAsia" w:ascii="Times New Roman" w:hAnsi="Times New Roman" w:eastAsia="黑体" w:cs="黑体"/>
          <w:sz w:val="32"/>
          <w:szCs w:val="32"/>
          <w:highlight w:val="none"/>
        </w:rPr>
        <w:t>章 计量管理</w:t>
      </w:r>
      <w:r>
        <w:rPr>
          <w:sz w:val="32"/>
          <w:szCs w:val="32"/>
        </w:rPr>
        <w:tab/>
      </w:r>
      <w:r>
        <w:rPr>
          <w:sz w:val="32"/>
          <w:szCs w:val="32"/>
        </w:rPr>
        <w:fldChar w:fldCharType="begin"/>
      </w:r>
      <w:r>
        <w:rPr>
          <w:sz w:val="32"/>
          <w:szCs w:val="32"/>
        </w:rPr>
        <w:instrText xml:space="preserve"> PAGEREF _Toc23797 \h </w:instrText>
      </w:r>
      <w:r>
        <w:rPr>
          <w:sz w:val="32"/>
          <w:szCs w:val="32"/>
        </w:rPr>
        <w:fldChar w:fldCharType="separate"/>
      </w:r>
      <w:r>
        <w:rPr>
          <w:sz w:val="32"/>
          <w:szCs w:val="32"/>
        </w:rPr>
        <w:t>6</w:t>
      </w:r>
      <w:r>
        <w:rPr>
          <w:sz w:val="32"/>
          <w:szCs w:val="32"/>
        </w:rPr>
        <w:fldChar w:fldCharType="end"/>
      </w:r>
      <w:r>
        <w:rPr>
          <w:rFonts w:hint="eastAsia" w:ascii="Times New Roman" w:hAnsi="Times New Roman" w:eastAsia="仿宋_GB2312" w:cs="Times New Roman"/>
          <w:bCs/>
          <w:sz w:val="32"/>
          <w:szCs w:val="32"/>
          <w:highlight w:val="none"/>
        </w:rPr>
        <w:fldChar w:fldCharType="end"/>
      </w:r>
    </w:p>
    <w:p w14:paraId="2483E2D1">
      <w:pPr>
        <w:pStyle w:val="11"/>
        <w:tabs>
          <w:tab w:val="right" w:leader="dot" w:pos="8306"/>
        </w:tabs>
        <w:rPr>
          <w:sz w:val="32"/>
          <w:szCs w:val="32"/>
        </w:rPr>
      </w:pPr>
      <w:r>
        <w:rPr>
          <w:rFonts w:hint="eastAsia" w:ascii="Times New Roman" w:hAnsi="Times New Roman" w:eastAsia="仿宋_GB2312" w:cs="Times New Roman"/>
          <w:bCs/>
          <w:sz w:val="32"/>
          <w:szCs w:val="32"/>
          <w:highlight w:val="none"/>
        </w:rPr>
        <w:fldChar w:fldCharType="begin"/>
      </w:r>
      <w:r>
        <w:rPr>
          <w:rFonts w:hint="eastAsia" w:ascii="Times New Roman" w:hAnsi="Times New Roman" w:eastAsia="仿宋_GB2312" w:cs="Times New Roman"/>
          <w:bCs/>
          <w:sz w:val="32"/>
          <w:szCs w:val="32"/>
          <w:highlight w:val="none"/>
        </w:rPr>
        <w:instrText xml:space="preserve"> HYPERLINK \l _Toc13718 </w:instrText>
      </w:r>
      <w:r>
        <w:rPr>
          <w:rFonts w:hint="eastAsia" w:ascii="Times New Roman" w:hAnsi="Times New Roman" w:eastAsia="仿宋_GB2312" w:cs="Times New Roman"/>
          <w:bCs/>
          <w:sz w:val="32"/>
          <w:szCs w:val="32"/>
          <w:highlight w:val="none"/>
        </w:rPr>
        <w:fldChar w:fldCharType="separate"/>
      </w:r>
      <w:r>
        <w:rPr>
          <w:rFonts w:ascii="Times New Roman" w:hAnsi="Times New Roman" w:eastAsia="楷体_GB2312" w:cs="Times New Roman"/>
          <w:sz w:val="32"/>
          <w:szCs w:val="32"/>
          <w:highlight w:val="none"/>
          <w:lang w:val="zh-CN"/>
        </w:rPr>
        <w:t>第</w:t>
      </w:r>
      <w:r>
        <w:rPr>
          <w:rFonts w:hint="eastAsia" w:ascii="Times New Roman" w:hAnsi="Times New Roman" w:eastAsia="楷体_GB2312" w:cs="Times New Roman"/>
          <w:sz w:val="32"/>
          <w:szCs w:val="32"/>
          <w:highlight w:val="none"/>
        </w:rPr>
        <w:t>一</w:t>
      </w:r>
      <w:r>
        <w:rPr>
          <w:rFonts w:ascii="Times New Roman" w:hAnsi="Times New Roman" w:eastAsia="楷体_GB2312" w:cs="Times New Roman"/>
          <w:sz w:val="32"/>
          <w:szCs w:val="32"/>
          <w:highlight w:val="none"/>
          <w:lang w:val="zh-CN"/>
        </w:rPr>
        <w:t xml:space="preserve">节 </w:t>
      </w:r>
      <w:r>
        <w:rPr>
          <w:rFonts w:hint="eastAsia" w:ascii="Times New Roman" w:hAnsi="Times New Roman" w:eastAsia="楷体_GB2312" w:cs="Times New Roman"/>
          <w:sz w:val="32"/>
          <w:szCs w:val="32"/>
          <w:highlight w:val="none"/>
        </w:rPr>
        <w:t>计量装置管理</w:t>
      </w:r>
      <w:r>
        <w:rPr>
          <w:sz w:val="32"/>
          <w:szCs w:val="32"/>
        </w:rPr>
        <w:tab/>
      </w:r>
      <w:r>
        <w:rPr>
          <w:sz w:val="32"/>
          <w:szCs w:val="32"/>
        </w:rPr>
        <w:fldChar w:fldCharType="begin"/>
      </w:r>
      <w:r>
        <w:rPr>
          <w:sz w:val="32"/>
          <w:szCs w:val="32"/>
        </w:rPr>
        <w:instrText xml:space="preserve"> PAGEREF _Toc13718 \h </w:instrText>
      </w:r>
      <w:r>
        <w:rPr>
          <w:sz w:val="32"/>
          <w:szCs w:val="32"/>
        </w:rPr>
        <w:fldChar w:fldCharType="separate"/>
      </w:r>
      <w:r>
        <w:rPr>
          <w:sz w:val="32"/>
          <w:szCs w:val="32"/>
        </w:rPr>
        <w:t>6</w:t>
      </w:r>
      <w:r>
        <w:rPr>
          <w:sz w:val="32"/>
          <w:szCs w:val="32"/>
        </w:rPr>
        <w:fldChar w:fldCharType="end"/>
      </w:r>
      <w:r>
        <w:rPr>
          <w:rFonts w:hint="eastAsia" w:ascii="Times New Roman" w:hAnsi="Times New Roman" w:eastAsia="仿宋_GB2312" w:cs="Times New Roman"/>
          <w:bCs/>
          <w:sz w:val="32"/>
          <w:szCs w:val="32"/>
          <w:highlight w:val="none"/>
        </w:rPr>
        <w:fldChar w:fldCharType="end"/>
      </w:r>
    </w:p>
    <w:p w14:paraId="7DC75424">
      <w:pPr>
        <w:pStyle w:val="11"/>
        <w:tabs>
          <w:tab w:val="right" w:leader="dot" w:pos="8306"/>
        </w:tabs>
        <w:rPr>
          <w:sz w:val="32"/>
          <w:szCs w:val="32"/>
        </w:rPr>
      </w:pPr>
      <w:r>
        <w:rPr>
          <w:rFonts w:hint="eastAsia" w:ascii="Times New Roman" w:hAnsi="Times New Roman" w:eastAsia="仿宋_GB2312" w:cs="Times New Roman"/>
          <w:bCs/>
          <w:sz w:val="32"/>
          <w:szCs w:val="32"/>
          <w:highlight w:val="none"/>
        </w:rPr>
        <w:fldChar w:fldCharType="begin"/>
      </w:r>
      <w:r>
        <w:rPr>
          <w:rFonts w:hint="eastAsia" w:ascii="Times New Roman" w:hAnsi="Times New Roman" w:eastAsia="仿宋_GB2312" w:cs="Times New Roman"/>
          <w:bCs/>
          <w:sz w:val="32"/>
          <w:szCs w:val="32"/>
          <w:highlight w:val="none"/>
        </w:rPr>
        <w:instrText xml:space="preserve"> HYPERLINK \l _Toc20758 </w:instrText>
      </w:r>
      <w:r>
        <w:rPr>
          <w:rFonts w:hint="eastAsia" w:ascii="Times New Roman" w:hAnsi="Times New Roman" w:eastAsia="仿宋_GB2312" w:cs="Times New Roman"/>
          <w:bCs/>
          <w:sz w:val="32"/>
          <w:szCs w:val="32"/>
          <w:highlight w:val="none"/>
        </w:rPr>
        <w:fldChar w:fldCharType="separate"/>
      </w:r>
      <w:r>
        <w:rPr>
          <w:rFonts w:ascii="Times New Roman" w:hAnsi="Times New Roman" w:eastAsia="楷体_GB2312" w:cs="Times New Roman"/>
          <w:sz w:val="32"/>
          <w:szCs w:val="32"/>
          <w:highlight w:val="none"/>
          <w:lang w:val="zh-CN"/>
        </w:rPr>
        <w:t>第</w:t>
      </w:r>
      <w:r>
        <w:rPr>
          <w:rFonts w:hint="eastAsia" w:ascii="Times New Roman" w:hAnsi="Times New Roman" w:eastAsia="楷体_GB2312" w:cs="Times New Roman"/>
          <w:sz w:val="32"/>
          <w:szCs w:val="32"/>
          <w:highlight w:val="none"/>
        </w:rPr>
        <w:t>二</w:t>
      </w:r>
      <w:r>
        <w:rPr>
          <w:rFonts w:ascii="Times New Roman" w:hAnsi="Times New Roman" w:eastAsia="楷体_GB2312" w:cs="Times New Roman"/>
          <w:sz w:val="32"/>
          <w:szCs w:val="32"/>
          <w:highlight w:val="none"/>
          <w:lang w:val="zh-CN"/>
        </w:rPr>
        <w:t xml:space="preserve">节 </w:t>
      </w:r>
      <w:r>
        <w:rPr>
          <w:rFonts w:hint="eastAsia" w:ascii="Times New Roman" w:hAnsi="Times New Roman" w:eastAsia="楷体_GB2312" w:cs="Times New Roman"/>
          <w:sz w:val="32"/>
          <w:szCs w:val="32"/>
          <w:highlight w:val="none"/>
        </w:rPr>
        <w:t>计量数据管理</w:t>
      </w:r>
      <w:r>
        <w:rPr>
          <w:sz w:val="32"/>
          <w:szCs w:val="32"/>
        </w:rPr>
        <w:tab/>
      </w:r>
      <w:r>
        <w:rPr>
          <w:sz w:val="32"/>
          <w:szCs w:val="32"/>
        </w:rPr>
        <w:fldChar w:fldCharType="begin"/>
      </w:r>
      <w:r>
        <w:rPr>
          <w:sz w:val="32"/>
          <w:szCs w:val="32"/>
        </w:rPr>
        <w:instrText xml:space="preserve"> PAGEREF _Toc20758 \h </w:instrText>
      </w:r>
      <w:r>
        <w:rPr>
          <w:sz w:val="32"/>
          <w:szCs w:val="32"/>
        </w:rPr>
        <w:fldChar w:fldCharType="separate"/>
      </w:r>
      <w:r>
        <w:rPr>
          <w:sz w:val="32"/>
          <w:szCs w:val="32"/>
        </w:rPr>
        <w:t>7</w:t>
      </w:r>
      <w:r>
        <w:rPr>
          <w:sz w:val="32"/>
          <w:szCs w:val="32"/>
        </w:rPr>
        <w:fldChar w:fldCharType="end"/>
      </w:r>
      <w:r>
        <w:rPr>
          <w:rFonts w:hint="eastAsia" w:ascii="Times New Roman" w:hAnsi="Times New Roman" w:eastAsia="仿宋_GB2312" w:cs="Times New Roman"/>
          <w:bCs/>
          <w:sz w:val="32"/>
          <w:szCs w:val="32"/>
          <w:highlight w:val="none"/>
        </w:rPr>
        <w:fldChar w:fldCharType="end"/>
      </w:r>
    </w:p>
    <w:p w14:paraId="2FA8A2AF">
      <w:pPr>
        <w:pStyle w:val="10"/>
        <w:tabs>
          <w:tab w:val="right" w:leader="dot" w:pos="8306"/>
        </w:tabs>
        <w:rPr>
          <w:sz w:val="32"/>
          <w:szCs w:val="32"/>
        </w:rPr>
      </w:pPr>
      <w:r>
        <w:rPr>
          <w:rFonts w:hint="eastAsia" w:ascii="Times New Roman" w:hAnsi="Times New Roman" w:eastAsia="仿宋_GB2312" w:cs="Times New Roman"/>
          <w:bCs/>
          <w:sz w:val="32"/>
          <w:szCs w:val="32"/>
          <w:highlight w:val="none"/>
        </w:rPr>
        <w:fldChar w:fldCharType="begin"/>
      </w:r>
      <w:r>
        <w:rPr>
          <w:rFonts w:hint="eastAsia" w:ascii="Times New Roman" w:hAnsi="Times New Roman" w:eastAsia="仿宋_GB2312" w:cs="Times New Roman"/>
          <w:bCs/>
          <w:sz w:val="32"/>
          <w:szCs w:val="32"/>
          <w:highlight w:val="none"/>
        </w:rPr>
        <w:instrText xml:space="preserve"> HYPERLINK \l _Toc22493 </w:instrText>
      </w:r>
      <w:r>
        <w:rPr>
          <w:rFonts w:hint="eastAsia" w:ascii="Times New Roman" w:hAnsi="Times New Roman" w:eastAsia="仿宋_GB2312" w:cs="Times New Roman"/>
          <w:bCs/>
          <w:sz w:val="32"/>
          <w:szCs w:val="32"/>
          <w:highlight w:val="none"/>
        </w:rPr>
        <w:fldChar w:fldCharType="separate"/>
      </w:r>
      <w:r>
        <w:rPr>
          <w:rFonts w:hint="eastAsia" w:ascii="Times New Roman" w:hAnsi="Times New Roman" w:eastAsia="黑体" w:cs="黑体"/>
          <w:sz w:val="32"/>
          <w:szCs w:val="32"/>
          <w:highlight w:val="none"/>
        </w:rPr>
        <w:t>第</w:t>
      </w:r>
      <w:r>
        <w:rPr>
          <w:rFonts w:hint="eastAsia" w:ascii="Times New Roman" w:hAnsi="Times New Roman" w:eastAsia="黑体" w:cs="黑体"/>
          <w:sz w:val="32"/>
          <w:szCs w:val="32"/>
          <w:highlight w:val="none"/>
          <w:lang w:val="en-US" w:eastAsia="zh-CN"/>
        </w:rPr>
        <w:t>四</w:t>
      </w:r>
      <w:r>
        <w:rPr>
          <w:rFonts w:hint="eastAsia" w:ascii="Times New Roman" w:hAnsi="Times New Roman" w:eastAsia="黑体" w:cs="黑体"/>
          <w:sz w:val="32"/>
          <w:szCs w:val="32"/>
          <w:highlight w:val="none"/>
        </w:rPr>
        <w:t>章 结算</w:t>
      </w:r>
      <w:r>
        <w:rPr>
          <w:rFonts w:hint="eastAsia" w:ascii="Times New Roman" w:hAnsi="Times New Roman" w:eastAsia="黑体" w:cs="黑体"/>
          <w:sz w:val="32"/>
          <w:szCs w:val="32"/>
          <w:highlight w:val="none"/>
          <w:lang w:val="en-US" w:eastAsia="zh-CN"/>
        </w:rPr>
        <w:t>管理</w:t>
      </w:r>
      <w:r>
        <w:rPr>
          <w:sz w:val="32"/>
          <w:szCs w:val="32"/>
        </w:rPr>
        <w:tab/>
      </w:r>
      <w:r>
        <w:rPr>
          <w:sz w:val="32"/>
          <w:szCs w:val="32"/>
        </w:rPr>
        <w:fldChar w:fldCharType="begin"/>
      </w:r>
      <w:r>
        <w:rPr>
          <w:sz w:val="32"/>
          <w:szCs w:val="32"/>
        </w:rPr>
        <w:instrText xml:space="preserve"> PAGEREF _Toc22493 \h </w:instrText>
      </w:r>
      <w:r>
        <w:rPr>
          <w:sz w:val="32"/>
          <w:szCs w:val="32"/>
        </w:rPr>
        <w:fldChar w:fldCharType="separate"/>
      </w:r>
      <w:r>
        <w:rPr>
          <w:sz w:val="32"/>
          <w:szCs w:val="32"/>
        </w:rPr>
        <w:t>8</w:t>
      </w:r>
      <w:r>
        <w:rPr>
          <w:sz w:val="32"/>
          <w:szCs w:val="32"/>
        </w:rPr>
        <w:fldChar w:fldCharType="end"/>
      </w:r>
      <w:r>
        <w:rPr>
          <w:rFonts w:hint="eastAsia" w:ascii="Times New Roman" w:hAnsi="Times New Roman" w:eastAsia="仿宋_GB2312" w:cs="Times New Roman"/>
          <w:bCs/>
          <w:sz w:val="32"/>
          <w:szCs w:val="32"/>
          <w:highlight w:val="none"/>
        </w:rPr>
        <w:fldChar w:fldCharType="end"/>
      </w:r>
    </w:p>
    <w:p w14:paraId="11DB9363">
      <w:pPr>
        <w:pStyle w:val="11"/>
        <w:tabs>
          <w:tab w:val="right" w:leader="dot" w:pos="8306"/>
        </w:tabs>
        <w:rPr>
          <w:sz w:val="32"/>
          <w:szCs w:val="32"/>
        </w:rPr>
      </w:pPr>
      <w:r>
        <w:rPr>
          <w:rFonts w:hint="eastAsia" w:ascii="Times New Roman" w:hAnsi="Times New Roman" w:eastAsia="仿宋_GB2312" w:cs="Times New Roman"/>
          <w:bCs/>
          <w:sz w:val="32"/>
          <w:szCs w:val="32"/>
          <w:highlight w:val="none"/>
        </w:rPr>
        <w:fldChar w:fldCharType="begin"/>
      </w:r>
      <w:r>
        <w:rPr>
          <w:rFonts w:hint="eastAsia" w:ascii="Times New Roman" w:hAnsi="Times New Roman" w:eastAsia="仿宋_GB2312" w:cs="Times New Roman"/>
          <w:bCs/>
          <w:sz w:val="32"/>
          <w:szCs w:val="32"/>
          <w:highlight w:val="none"/>
        </w:rPr>
        <w:instrText xml:space="preserve"> HYPERLINK \l _Toc7016 </w:instrText>
      </w:r>
      <w:r>
        <w:rPr>
          <w:rFonts w:hint="eastAsia" w:ascii="Times New Roman" w:hAnsi="Times New Roman" w:eastAsia="仿宋_GB2312" w:cs="Times New Roman"/>
          <w:bCs/>
          <w:sz w:val="32"/>
          <w:szCs w:val="32"/>
          <w:highlight w:val="none"/>
        </w:rPr>
        <w:fldChar w:fldCharType="separate"/>
      </w:r>
      <w:r>
        <w:rPr>
          <w:rFonts w:hint="eastAsia" w:ascii="Times New Roman" w:hAnsi="Times New Roman" w:eastAsia="楷体_GB2312" w:cs="Times New Roman"/>
          <w:sz w:val="32"/>
          <w:szCs w:val="32"/>
          <w:highlight w:val="none"/>
        </w:rPr>
        <w:t xml:space="preserve">第一节 </w:t>
      </w:r>
      <w:r>
        <w:rPr>
          <w:rFonts w:hint="eastAsia" w:ascii="Times New Roman" w:hAnsi="Times New Roman" w:eastAsia="楷体_GB2312" w:cs="Times New Roman"/>
          <w:sz w:val="32"/>
          <w:szCs w:val="32"/>
          <w:highlight w:val="none"/>
          <w:lang w:val="en-US" w:eastAsia="zh-CN"/>
        </w:rPr>
        <w:t>结算准备</w:t>
      </w:r>
      <w:r>
        <w:rPr>
          <w:sz w:val="32"/>
          <w:szCs w:val="32"/>
        </w:rPr>
        <w:tab/>
      </w:r>
      <w:r>
        <w:rPr>
          <w:sz w:val="32"/>
          <w:szCs w:val="32"/>
        </w:rPr>
        <w:fldChar w:fldCharType="begin"/>
      </w:r>
      <w:r>
        <w:rPr>
          <w:sz w:val="32"/>
          <w:szCs w:val="32"/>
        </w:rPr>
        <w:instrText xml:space="preserve"> PAGEREF _Toc7016 \h </w:instrText>
      </w:r>
      <w:r>
        <w:rPr>
          <w:sz w:val="32"/>
          <w:szCs w:val="32"/>
        </w:rPr>
        <w:fldChar w:fldCharType="separate"/>
      </w:r>
      <w:r>
        <w:rPr>
          <w:sz w:val="32"/>
          <w:szCs w:val="32"/>
        </w:rPr>
        <w:t>8</w:t>
      </w:r>
      <w:r>
        <w:rPr>
          <w:sz w:val="32"/>
          <w:szCs w:val="32"/>
        </w:rPr>
        <w:fldChar w:fldCharType="end"/>
      </w:r>
      <w:r>
        <w:rPr>
          <w:rFonts w:hint="eastAsia" w:ascii="Times New Roman" w:hAnsi="Times New Roman" w:eastAsia="仿宋_GB2312" w:cs="Times New Roman"/>
          <w:bCs/>
          <w:sz w:val="32"/>
          <w:szCs w:val="32"/>
          <w:highlight w:val="none"/>
        </w:rPr>
        <w:fldChar w:fldCharType="end"/>
      </w:r>
    </w:p>
    <w:p w14:paraId="143FD093">
      <w:pPr>
        <w:pStyle w:val="11"/>
        <w:tabs>
          <w:tab w:val="right" w:leader="dot" w:pos="8306"/>
        </w:tabs>
        <w:rPr>
          <w:sz w:val="32"/>
          <w:szCs w:val="32"/>
        </w:rPr>
      </w:pPr>
      <w:r>
        <w:rPr>
          <w:rFonts w:hint="eastAsia" w:ascii="Times New Roman" w:hAnsi="Times New Roman" w:eastAsia="仿宋_GB2312" w:cs="Times New Roman"/>
          <w:bCs/>
          <w:sz w:val="32"/>
          <w:szCs w:val="32"/>
          <w:highlight w:val="none"/>
        </w:rPr>
        <w:fldChar w:fldCharType="begin"/>
      </w:r>
      <w:r>
        <w:rPr>
          <w:rFonts w:hint="eastAsia" w:ascii="Times New Roman" w:hAnsi="Times New Roman" w:eastAsia="仿宋_GB2312" w:cs="Times New Roman"/>
          <w:bCs/>
          <w:sz w:val="32"/>
          <w:szCs w:val="32"/>
          <w:highlight w:val="none"/>
        </w:rPr>
        <w:instrText xml:space="preserve"> HYPERLINK \l _Toc24085 </w:instrText>
      </w:r>
      <w:r>
        <w:rPr>
          <w:rFonts w:hint="eastAsia" w:ascii="Times New Roman" w:hAnsi="Times New Roman" w:eastAsia="仿宋_GB2312" w:cs="Times New Roman"/>
          <w:bCs/>
          <w:sz w:val="32"/>
          <w:szCs w:val="32"/>
          <w:highlight w:val="none"/>
        </w:rPr>
        <w:fldChar w:fldCharType="separate"/>
      </w:r>
      <w:r>
        <w:rPr>
          <w:rFonts w:hint="eastAsia" w:ascii="Times New Roman" w:hAnsi="Times New Roman" w:eastAsia="楷体_GB2312" w:cs="Times New Roman"/>
          <w:sz w:val="32"/>
          <w:szCs w:val="32"/>
          <w:highlight w:val="none"/>
        </w:rPr>
        <w:t>第</w:t>
      </w:r>
      <w:r>
        <w:rPr>
          <w:rFonts w:hint="eastAsia" w:ascii="Times New Roman" w:hAnsi="Times New Roman" w:eastAsia="楷体_GB2312" w:cs="Times New Roman"/>
          <w:sz w:val="32"/>
          <w:szCs w:val="32"/>
          <w:highlight w:val="none"/>
          <w:lang w:val="en-US" w:eastAsia="zh-CN"/>
        </w:rPr>
        <w:t>二</w:t>
      </w:r>
      <w:r>
        <w:rPr>
          <w:rFonts w:hint="eastAsia" w:ascii="Times New Roman" w:hAnsi="Times New Roman" w:eastAsia="楷体_GB2312" w:cs="Times New Roman"/>
          <w:sz w:val="32"/>
          <w:szCs w:val="32"/>
          <w:highlight w:val="none"/>
        </w:rPr>
        <w:t xml:space="preserve">节 </w:t>
      </w:r>
      <w:r>
        <w:rPr>
          <w:rFonts w:hint="eastAsia" w:ascii="Times New Roman" w:hAnsi="Times New Roman" w:eastAsia="楷体_GB2312" w:cs="Times New Roman"/>
          <w:sz w:val="32"/>
          <w:szCs w:val="32"/>
          <w:highlight w:val="none"/>
          <w:lang w:val="en-US" w:eastAsia="zh-CN"/>
        </w:rPr>
        <w:t>结算依据编制与发布</w:t>
      </w:r>
      <w:r>
        <w:rPr>
          <w:sz w:val="32"/>
          <w:szCs w:val="32"/>
        </w:rPr>
        <w:tab/>
      </w:r>
      <w:r>
        <w:rPr>
          <w:sz w:val="32"/>
          <w:szCs w:val="32"/>
        </w:rPr>
        <w:fldChar w:fldCharType="begin"/>
      </w:r>
      <w:r>
        <w:rPr>
          <w:sz w:val="32"/>
          <w:szCs w:val="32"/>
        </w:rPr>
        <w:instrText xml:space="preserve"> PAGEREF _Toc24085 \h </w:instrText>
      </w:r>
      <w:r>
        <w:rPr>
          <w:sz w:val="32"/>
          <w:szCs w:val="32"/>
        </w:rPr>
        <w:fldChar w:fldCharType="separate"/>
      </w:r>
      <w:r>
        <w:rPr>
          <w:sz w:val="32"/>
          <w:szCs w:val="32"/>
        </w:rPr>
        <w:t>10</w:t>
      </w:r>
      <w:r>
        <w:rPr>
          <w:sz w:val="32"/>
          <w:szCs w:val="32"/>
        </w:rPr>
        <w:fldChar w:fldCharType="end"/>
      </w:r>
      <w:r>
        <w:rPr>
          <w:rFonts w:hint="eastAsia" w:ascii="Times New Roman" w:hAnsi="Times New Roman" w:eastAsia="仿宋_GB2312" w:cs="Times New Roman"/>
          <w:bCs/>
          <w:sz w:val="32"/>
          <w:szCs w:val="32"/>
          <w:highlight w:val="none"/>
        </w:rPr>
        <w:fldChar w:fldCharType="end"/>
      </w:r>
    </w:p>
    <w:p w14:paraId="0594A828">
      <w:pPr>
        <w:pStyle w:val="11"/>
        <w:tabs>
          <w:tab w:val="right" w:leader="dot" w:pos="8306"/>
        </w:tabs>
        <w:rPr>
          <w:sz w:val="32"/>
          <w:szCs w:val="32"/>
        </w:rPr>
      </w:pPr>
      <w:r>
        <w:rPr>
          <w:rFonts w:hint="eastAsia" w:ascii="Times New Roman" w:hAnsi="Times New Roman" w:eastAsia="仿宋_GB2312" w:cs="Times New Roman"/>
          <w:bCs/>
          <w:sz w:val="32"/>
          <w:szCs w:val="32"/>
          <w:highlight w:val="none"/>
        </w:rPr>
        <w:fldChar w:fldCharType="begin"/>
      </w:r>
      <w:r>
        <w:rPr>
          <w:rFonts w:hint="eastAsia" w:ascii="Times New Roman" w:hAnsi="Times New Roman" w:eastAsia="仿宋_GB2312" w:cs="Times New Roman"/>
          <w:bCs/>
          <w:sz w:val="32"/>
          <w:szCs w:val="32"/>
          <w:highlight w:val="none"/>
        </w:rPr>
        <w:instrText xml:space="preserve"> HYPERLINK \l _Toc28497 </w:instrText>
      </w:r>
      <w:r>
        <w:rPr>
          <w:rFonts w:hint="eastAsia" w:ascii="Times New Roman" w:hAnsi="Times New Roman" w:eastAsia="仿宋_GB2312" w:cs="Times New Roman"/>
          <w:bCs/>
          <w:sz w:val="32"/>
          <w:szCs w:val="32"/>
          <w:highlight w:val="none"/>
        </w:rPr>
        <w:fldChar w:fldCharType="separate"/>
      </w:r>
      <w:r>
        <w:rPr>
          <w:rFonts w:hint="eastAsia" w:ascii="Times New Roman" w:hAnsi="Times New Roman" w:eastAsia="楷体_GB2312" w:cs="Times New Roman"/>
          <w:sz w:val="32"/>
          <w:szCs w:val="32"/>
          <w:highlight w:val="none"/>
        </w:rPr>
        <w:t>第</w:t>
      </w:r>
      <w:r>
        <w:rPr>
          <w:rFonts w:hint="eastAsia" w:ascii="Times New Roman" w:hAnsi="Times New Roman" w:eastAsia="楷体_GB2312" w:cs="Times New Roman"/>
          <w:sz w:val="32"/>
          <w:szCs w:val="32"/>
          <w:highlight w:val="none"/>
          <w:lang w:val="en-US" w:eastAsia="zh-CN"/>
        </w:rPr>
        <w:t>三节</w:t>
      </w:r>
      <w:r>
        <w:rPr>
          <w:rFonts w:hint="eastAsia" w:ascii="Times New Roman" w:hAnsi="Times New Roman" w:eastAsia="楷体_GB2312" w:cs="Times New Roman"/>
          <w:sz w:val="32"/>
          <w:szCs w:val="32"/>
          <w:highlight w:val="none"/>
        </w:rPr>
        <w:t xml:space="preserve"> 电费</w:t>
      </w:r>
      <w:r>
        <w:rPr>
          <w:rFonts w:hint="eastAsia" w:ascii="Times New Roman" w:hAnsi="Times New Roman" w:eastAsia="楷体_GB2312" w:cs="Times New Roman"/>
          <w:sz w:val="32"/>
          <w:szCs w:val="32"/>
          <w:highlight w:val="none"/>
          <w:lang w:val="en-US" w:eastAsia="zh-CN"/>
        </w:rPr>
        <w:t>结算</w:t>
      </w:r>
      <w:r>
        <w:rPr>
          <w:sz w:val="32"/>
          <w:szCs w:val="32"/>
        </w:rPr>
        <w:tab/>
      </w:r>
      <w:r>
        <w:rPr>
          <w:sz w:val="32"/>
          <w:szCs w:val="32"/>
        </w:rPr>
        <w:fldChar w:fldCharType="begin"/>
      </w:r>
      <w:r>
        <w:rPr>
          <w:sz w:val="32"/>
          <w:szCs w:val="32"/>
        </w:rPr>
        <w:instrText xml:space="preserve"> PAGEREF _Toc28497 \h </w:instrText>
      </w:r>
      <w:r>
        <w:rPr>
          <w:sz w:val="32"/>
          <w:szCs w:val="32"/>
        </w:rPr>
        <w:fldChar w:fldCharType="separate"/>
      </w:r>
      <w:r>
        <w:rPr>
          <w:sz w:val="32"/>
          <w:szCs w:val="32"/>
        </w:rPr>
        <w:t>11</w:t>
      </w:r>
      <w:r>
        <w:rPr>
          <w:sz w:val="32"/>
          <w:szCs w:val="32"/>
        </w:rPr>
        <w:fldChar w:fldCharType="end"/>
      </w:r>
      <w:r>
        <w:rPr>
          <w:rFonts w:hint="eastAsia" w:ascii="Times New Roman" w:hAnsi="Times New Roman" w:eastAsia="仿宋_GB2312" w:cs="Times New Roman"/>
          <w:bCs/>
          <w:sz w:val="32"/>
          <w:szCs w:val="32"/>
          <w:highlight w:val="none"/>
        </w:rPr>
        <w:fldChar w:fldCharType="end"/>
      </w:r>
    </w:p>
    <w:p w14:paraId="2C07F0C3">
      <w:pPr>
        <w:pStyle w:val="11"/>
        <w:tabs>
          <w:tab w:val="right" w:leader="dot" w:pos="8306"/>
        </w:tabs>
        <w:rPr>
          <w:sz w:val="32"/>
          <w:szCs w:val="32"/>
        </w:rPr>
      </w:pPr>
      <w:r>
        <w:rPr>
          <w:rFonts w:hint="eastAsia" w:ascii="Times New Roman" w:hAnsi="Times New Roman" w:eastAsia="仿宋_GB2312" w:cs="Times New Roman"/>
          <w:bCs/>
          <w:sz w:val="32"/>
          <w:szCs w:val="32"/>
          <w:highlight w:val="none"/>
        </w:rPr>
        <w:fldChar w:fldCharType="begin"/>
      </w:r>
      <w:r>
        <w:rPr>
          <w:rFonts w:hint="eastAsia" w:ascii="Times New Roman" w:hAnsi="Times New Roman" w:eastAsia="仿宋_GB2312" w:cs="Times New Roman"/>
          <w:bCs/>
          <w:sz w:val="32"/>
          <w:szCs w:val="32"/>
          <w:highlight w:val="none"/>
        </w:rPr>
        <w:instrText xml:space="preserve"> HYPERLINK \l _Toc27712 </w:instrText>
      </w:r>
      <w:r>
        <w:rPr>
          <w:rFonts w:hint="eastAsia" w:ascii="Times New Roman" w:hAnsi="Times New Roman" w:eastAsia="仿宋_GB2312" w:cs="Times New Roman"/>
          <w:bCs/>
          <w:sz w:val="32"/>
          <w:szCs w:val="32"/>
          <w:highlight w:val="none"/>
        </w:rPr>
        <w:fldChar w:fldCharType="separate"/>
      </w:r>
      <w:r>
        <w:rPr>
          <w:rFonts w:hint="eastAsia" w:ascii="Times New Roman" w:hAnsi="Times New Roman" w:eastAsia="楷体_GB2312" w:cs="Times New Roman"/>
          <w:sz w:val="32"/>
          <w:szCs w:val="32"/>
          <w:highlight w:val="none"/>
        </w:rPr>
        <w:t>第</w:t>
      </w:r>
      <w:r>
        <w:rPr>
          <w:rFonts w:hint="eastAsia" w:ascii="Times New Roman" w:hAnsi="Times New Roman" w:eastAsia="楷体_GB2312" w:cs="Times New Roman"/>
          <w:sz w:val="32"/>
          <w:szCs w:val="32"/>
          <w:highlight w:val="none"/>
          <w:lang w:val="en-US" w:eastAsia="zh-CN"/>
        </w:rPr>
        <w:t>四</w:t>
      </w:r>
      <w:r>
        <w:rPr>
          <w:rFonts w:hint="eastAsia" w:ascii="Times New Roman" w:hAnsi="Times New Roman" w:eastAsia="楷体_GB2312" w:cs="Times New Roman"/>
          <w:sz w:val="32"/>
          <w:szCs w:val="32"/>
          <w:highlight w:val="none"/>
        </w:rPr>
        <w:t xml:space="preserve">节 </w:t>
      </w:r>
      <w:r>
        <w:rPr>
          <w:rFonts w:hint="eastAsia" w:ascii="Times New Roman" w:hAnsi="Times New Roman" w:eastAsia="楷体_GB2312" w:cs="Times New Roman"/>
          <w:sz w:val="32"/>
          <w:szCs w:val="32"/>
          <w:highlight w:val="none"/>
          <w:lang w:val="en-US" w:eastAsia="zh-CN"/>
        </w:rPr>
        <w:t>结算调整</w:t>
      </w:r>
      <w:r>
        <w:rPr>
          <w:sz w:val="32"/>
          <w:szCs w:val="32"/>
        </w:rPr>
        <w:tab/>
      </w:r>
      <w:r>
        <w:rPr>
          <w:sz w:val="32"/>
          <w:szCs w:val="32"/>
        </w:rPr>
        <w:fldChar w:fldCharType="begin"/>
      </w:r>
      <w:r>
        <w:rPr>
          <w:sz w:val="32"/>
          <w:szCs w:val="32"/>
        </w:rPr>
        <w:instrText xml:space="preserve"> PAGEREF _Toc27712 \h </w:instrText>
      </w:r>
      <w:r>
        <w:rPr>
          <w:sz w:val="32"/>
          <w:szCs w:val="32"/>
        </w:rPr>
        <w:fldChar w:fldCharType="separate"/>
      </w:r>
      <w:r>
        <w:rPr>
          <w:sz w:val="32"/>
          <w:szCs w:val="32"/>
        </w:rPr>
        <w:t>14</w:t>
      </w:r>
      <w:r>
        <w:rPr>
          <w:sz w:val="32"/>
          <w:szCs w:val="32"/>
        </w:rPr>
        <w:fldChar w:fldCharType="end"/>
      </w:r>
      <w:r>
        <w:rPr>
          <w:rFonts w:hint="eastAsia" w:ascii="Times New Roman" w:hAnsi="Times New Roman" w:eastAsia="仿宋_GB2312" w:cs="Times New Roman"/>
          <w:bCs/>
          <w:sz w:val="32"/>
          <w:szCs w:val="32"/>
          <w:highlight w:val="none"/>
        </w:rPr>
        <w:fldChar w:fldCharType="end"/>
      </w:r>
    </w:p>
    <w:p w14:paraId="70F3983C">
      <w:pPr>
        <w:pStyle w:val="10"/>
        <w:tabs>
          <w:tab w:val="right" w:leader="dot" w:pos="8306"/>
        </w:tabs>
        <w:rPr>
          <w:sz w:val="32"/>
          <w:szCs w:val="32"/>
        </w:rPr>
      </w:pPr>
      <w:r>
        <w:rPr>
          <w:rFonts w:hint="eastAsia" w:ascii="Times New Roman" w:hAnsi="Times New Roman" w:eastAsia="仿宋_GB2312" w:cs="Times New Roman"/>
          <w:bCs/>
          <w:sz w:val="32"/>
          <w:szCs w:val="32"/>
          <w:highlight w:val="none"/>
        </w:rPr>
        <w:fldChar w:fldCharType="begin"/>
      </w:r>
      <w:r>
        <w:rPr>
          <w:rFonts w:hint="eastAsia" w:ascii="Times New Roman" w:hAnsi="Times New Roman" w:eastAsia="仿宋_GB2312" w:cs="Times New Roman"/>
          <w:bCs/>
          <w:sz w:val="32"/>
          <w:szCs w:val="32"/>
          <w:highlight w:val="none"/>
        </w:rPr>
        <w:instrText xml:space="preserve"> HYPERLINK \l _Toc28219 </w:instrText>
      </w:r>
      <w:r>
        <w:rPr>
          <w:rFonts w:hint="eastAsia" w:ascii="Times New Roman" w:hAnsi="Times New Roman" w:eastAsia="仿宋_GB2312" w:cs="Times New Roman"/>
          <w:bCs/>
          <w:sz w:val="32"/>
          <w:szCs w:val="32"/>
          <w:highlight w:val="none"/>
        </w:rPr>
        <w:fldChar w:fldCharType="separate"/>
      </w:r>
      <w:r>
        <w:rPr>
          <w:rFonts w:hint="eastAsia" w:ascii="Times New Roman" w:hAnsi="Times New Roman" w:eastAsia="黑体" w:cs="黑体"/>
          <w:sz w:val="32"/>
          <w:szCs w:val="32"/>
          <w:highlight w:val="none"/>
        </w:rPr>
        <w:t>第</w:t>
      </w:r>
      <w:r>
        <w:rPr>
          <w:rFonts w:hint="eastAsia" w:ascii="Times New Roman" w:hAnsi="Times New Roman" w:eastAsia="黑体" w:cs="黑体"/>
          <w:sz w:val="32"/>
          <w:szCs w:val="32"/>
          <w:highlight w:val="none"/>
          <w:lang w:val="en-US" w:eastAsia="zh-CN"/>
        </w:rPr>
        <w:t>五</w:t>
      </w:r>
      <w:r>
        <w:rPr>
          <w:rFonts w:hint="eastAsia" w:ascii="Times New Roman" w:hAnsi="Times New Roman" w:eastAsia="黑体" w:cs="黑体"/>
          <w:sz w:val="32"/>
          <w:szCs w:val="32"/>
          <w:highlight w:val="none"/>
        </w:rPr>
        <w:t>章 监督管理</w:t>
      </w:r>
      <w:r>
        <w:rPr>
          <w:sz w:val="32"/>
          <w:szCs w:val="32"/>
        </w:rPr>
        <w:tab/>
      </w:r>
      <w:r>
        <w:rPr>
          <w:sz w:val="32"/>
          <w:szCs w:val="32"/>
        </w:rPr>
        <w:fldChar w:fldCharType="begin"/>
      </w:r>
      <w:r>
        <w:rPr>
          <w:sz w:val="32"/>
          <w:szCs w:val="32"/>
        </w:rPr>
        <w:instrText xml:space="preserve"> PAGEREF _Toc28219 \h </w:instrText>
      </w:r>
      <w:r>
        <w:rPr>
          <w:sz w:val="32"/>
          <w:szCs w:val="32"/>
        </w:rPr>
        <w:fldChar w:fldCharType="separate"/>
      </w:r>
      <w:r>
        <w:rPr>
          <w:sz w:val="32"/>
          <w:szCs w:val="32"/>
        </w:rPr>
        <w:t>15</w:t>
      </w:r>
      <w:r>
        <w:rPr>
          <w:sz w:val="32"/>
          <w:szCs w:val="32"/>
        </w:rPr>
        <w:fldChar w:fldCharType="end"/>
      </w:r>
      <w:r>
        <w:rPr>
          <w:rFonts w:hint="eastAsia" w:ascii="Times New Roman" w:hAnsi="Times New Roman" w:eastAsia="仿宋_GB2312" w:cs="Times New Roman"/>
          <w:bCs/>
          <w:sz w:val="32"/>
          <w:szCs w:val="32"/>
          <w:highlight w:val="none"/>
        </w:rPr>
        <w:fldChar w:fldCharType="end"/>
      </w:r>
    </w:p>
    <w:p w14:paraId="20B86897">
      <w:pPr>
        <w:pStyle w:val="10"/>
        <w:tabs>
          <w:tab w:val="right" w:leader="dot" w:pos="8306"/>
        </w:tabs>
        <w:rPr>
          <w:sz w:val="32"/>
          <w:szCs w:val="32"/>
        </w:rPr>
      </w:pPr>
      <w:r>
        <w:rPr>
          <w:rFonts w:hint="eastAsia" w:ascii="Times New Roman" w:hAnsi="Times New Roman" w:eastAsia="仿宋_GB2312" w:cs="Times New Roman"/>
          <w:bCs/>
          <w:sz w:val="32"/>
          <w:szCs w:val="32"/>
          <w:highlight w:val="none"/>
        </w:rPr>
        <w:fldChar w:fldCharType="begin"/>
      </w:r>
      <w:r>
        <w:rPr>
          <w:rFonts w:hint="eastAsia" w:ascii="Times New Roman" w:hAnsi="Times New Roman" w:eastAsia="仿宋_GB2312" w:cs="Times New Roman"/>
          <w:bCs/>
          <w:sz w:val="32"/>
          <w:szCs w:val="32"/>
          <w:highlight w:val="none"/>
        </w:rPr>
        <w:instrText xml:space="preserve"> HYPERLINK \l _Toc7652 </w:instrText>
      </w:r>
      <w:r>
        <w:rPr>
          <w:rFonts w:hint="eastAsia" w:ascii="Times New Roman" w:hAnsi="Times New Roman" w:eastAsia="仿宋_GB2312" w:cs="Times New Roman"/>
          <w:bCs/>
          <w:sz w:val="32"/>
          <w:szCs w:val="32"/>
          <w:highlight w:val="none"/>
        </w:rPr>
        <w:fldChar w:fldCharType="separate"/>
      </w:r>
      <w:r>
        <w:rPr>
          <w:rFonts w:hint="eastAsia" w:ascii="Times New Roman" w:hAnsi="Times New Roman" w:eastAsia="黑体" w:cs="黑体"/>
          <w:sz w:val="32"/>
          <w:szCs w:val="32"/>
          <w:highlight w:val="none"/>
        </w:rPr>
        <w:t>第</w:t>
      </w:r>
      <w:r>
        <w:rPr>
          <w:rFonts w:hint="eastAsia" w:ascii="Times New Roman" w:hAnsi="Times New Roman" w:eastAsia="黑体" w:cs="黑体"/>
          <w:sz w:val="32"/>
          <w:szCs w:val="32"/>
          <w:highlight w:val="none"/>
          <w:lang w:val="en-US" w:eastAsia="zh-CN"/>
        </w:rPr>
        <w:t>六</w:t>
      </w:r>
      <w:r>
        <w:rPr>
          <w:rFonts w:hint="eastAsia" w:ascii="Times New Roman" w:hAnsi="Times New Roman" w:eastAsia="黑体" w:cs="黑体"/>
          <w:sz w:val="32"/>
          <w:szCs w:val="32"/>
          <w:highlight w:val="none"/>
        </w:rPr>
        <w:t>章 附则</w:t>
      </w:r>
      <w:r>
        <w:rPr>
          <w:sz w:val="32"/>
          <w:szCs w:val="32"/>
        </w:rPr>
        <w:tab/>
      </w:r>
      <w:r>
        <w:rPr>
          <w:sz w:val="32"/>
          <w:szCs w:val="32"/>
        </w:rPr>
        <w:fldChar w:fldCharType="begin"/>
      </w:r>
      <w:r>
        <w:rPr>
          <w:sz w:val="32"/>
          <w:szCs w:val="32"/>
        </w:rPr>
        <w:instrText xml:space="preserve"> PAGEREF _Toc7652 \h </w:instrText>
      </w:r>
      <w:r>
        <w:rPr>
          <w:sz w:val="32"/>
          <w:szCs w:val="32"/>
        </w:rPr>
        <w:fldChar w:fldCharType="separate"/>
      </w:r>
      <w:r>
        <w:rPr>
          <w:sz w:val="32"/>
          <w:szCs w:val="32"/>
        </w:rPr>
        <w:t>15</w:t>
      </w:r>
      <w:r>
        <w:rPr>
          <w:sz w:val="32"/>
          <w:szCs w:val="32"/>
        </w:rPr>
        <w:fldChar w:fldCharType="end"/>
      </w:r>
      <w:r>
        <w:rPr>
          <w:rFonts w:hint="eastAsia" w:ascii="Times New Roman" w:hAnsi="Times New Roman" w:eastAsia="仿宋_GB2312" w:cs="Times New Roman"/>
          <w:bCs/>
          <w:sz w:val="32"/>
          <w:szCs w:val="32"/>
          <w:highlight w:val="none"/>
        </w:rPr>
        <w:fldChar w:fldCharType="end"/>
      </w:r>
    </w:p>
    <w:p w14:paraId="6633CE5A">
      <w:pPr>
        <w:pStyle w:val="17"/>
        <w:spacing w:line="240" w:lineRule="auto"/>
        <w:rPr>
          <w:rFonts w:ascii="Times New Roman" w:hAnsi="Times New Roman" w:eastAsia="仿宋_GB2312" w:cs="Times New Roman"/>
          <w:bCs/>
          <w:sz w:val="32"/>
          <w:szCs w:val="32"/>
          <w:highlight w:val="none"/>
        </w:rPr>
      </w:pPr>
      <w:r>
        <w:rPr>
          <w:rFonts w:hint="eastAsia" w:ascii="Times New Roman" w:hAnsi="Times New Roman" w:eastAsia="仿宋_GB2312" w:cs="Times New Roman"/>
          <w:bCs/>
          <w:sz w:val="32"/>
          <w:szCs w:val="32"/>
          <w:highlight w:val="none"/>
        </w:rPr>
        <w:fldChar w:fldCharType="end"/>
      </w:r>
    </w:p>
    <w:p w14:paraId="23D7768B">
      <w:pPr>
        <w:pStyle w:val="16"/>
        <w:tabs>
          <w:tab w:val="right" w:pos="8306"/>
        </w:tabs>
        <w:spacing w:line="560" w:lineRule="exact"/>
        <w:jc w:val="left"/>
        <w:rPr>
          <w:rFonts w:ascii="Times New Roman" w:hAnsi="Times New Roman" w:eastAsia="华文仿宋" w:cs="华文仿宋"/>
          <w:b/>
          <w:bCs/>
          <w:sz w:val="48"/>
          <w:szCs w:val="48"/>
          <w:highlight w:val="none"/>
        </w:rPr>
        <w:sectPr>
          <w:footerReference r:id="rId3" w:type="default"/>
          <w:pgSz w:w="11906" w:h="16838"/>
          <w:pgMar w:top="1440" w:right="1800" w:bottom="1440" w:left="1800" w:header="851" w:footer="992" w:gutter="0"/>
          <w:pgNumType w:fmt="numberInDash"/>
          <w:cols w:space="425" w:num="1"/>
          <w:docGrid w:type="lines" w:linePitch="312" w:charSpace="0"/>
        </w:sectPr>
      </w:pPr>
    </w:p>
    <w:p w14:paraId="4F377F43">
      <w:pPr>
        <w:numPr>
          <w:ilvl w:val="255"/>
          <w:numId w:val="0"/>
        </w:numPr>
        <w:snapToGrid w:val="0"/>
        <w:spacing w:line="588" w:lineRule="exact"/>
        <w:jc w:val="center"/>
        <w:outlineLvl w:val="0"/>
        <w:rPr>
          <w:rFonts w:ascii="Times New Roman" w:hAnsi="Times New Roman" w:eastAsia="黑体" w:cs="黑体"/>
          <w:sz w:val="32"/>
          <w:szCs w:val="32"/>
          <w:highlight w:val="none"/>
        </w:rPr>
      </w:pPr>
      <w:bookmarkStart w:id="0" w:name="_Toc16906"/>
      <w:bookmarkStart w:id="1" w:name="_Toc15458"/>
      <w:bookmarkStart w:id="2" w:name="_Toc10426"/>
      <w:bookmarkStart w:id="3" w:name="_Toc4038"/>
      <w:bookmarkStart w:id="4" w:name="_Toc1070"/>
      <w:bookmarkStart w:id="5" w:name="_Toc6534"/>
      <w:bookmarkStart w:id="6" w:name="_Toc15937"/>
      <w:bookmarkStart w:id="7" w:name="_Toc25969"/>
      <w:bookmarkStart w:id="8" w:name="_Toc1592"/>
      <w:bookmarkStart w:id="9" w:name="_Toc1459"/>
      <w:bookmarkStart w:id="10" w:name="_Toc25194"/>
      <w:bookmarkStart w:id="11" w:name="_Toc5703"/>
      <w:bookmarkStart w:id="12" w:name="_Toc18220"/>
      <w:bookmarkStart w:id="13" w:name="_Toc20616"/>
      <w:bookmarkStart w:id="14" w:name="_Toc8424"/>
      <w:bookmarkStart w:id="15" w:name="_Toc11482"/>
      <w:bookmarkStart w:id="16" w:name="_Toc794"/>
      <w:bookmarkStart w:id="17" w:name="_Toc9151"/>
      <w:bookmarkStart w:id="18" w:name="_Toc26310"/>
      <w:bookmarkStart w:id="19" w:name="_Toc15982"/>
      <w:bookmarkStart w:id="20" w:name="_Toc23450"/>
      <w:bookmarkStart w:id="21" w:name="_Toc15332"/>
      <w:bookmarkStart w:id="22" w:name="_Toc21281"/>
      <w:bookmarkStart w:id="23" w:name="_Toc25934"/>
      <w:bookmarkStart w:id="24" w:name="_Toc6621"/>
      <w:r>
        <w:rPr>
          <w:rFonts w:hint="eastAsia" w:ascii="Times New Roman" w:hAnsi="Times New Roman" w:eastAsia="黑体" w:cs="黑体"/>
          <w:sz w:val="32"/>
          <w:szCs w:val="32"/>
          <w:highlight w:val="none"/>
        </w:rPr>
        <w:t>第一章 总则</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48C98EB9">
      <w:pPr>
        <w:pStyle w:val="18"/>
        <w:numPr>
          <w:ilvl w:val="0"/>
          <w:numId w:val="1"/>
        </w:numPr>
        <w:snapToGrid w:val="0"/>
        <w:spacing w:line="588" w:lineRule="exact"/>
        <w:ind w:left="0" w:firstLine="640" w:firstLineChars="200"/>
        <w:jc w:val="both"/>
        <w:rPr>
          <w:rFonts w:ascii="Times New Roman" w:hAnsi="Times New Roman" w:eastAsia="仿宋_GB2312" w:cs="Times New Roman"/>
          <w:bCs/>
          <w:sz w:val="32"/>
          <w:szCs w:val="32"/>
          <w:highlight w:val="none"/>
        </w:rPr>
      </w:pPr>
      <w:r>
        <w:rPr>
          <w:rFonts w:hint="eastAsia" w:ascii="Times New Roman" w:hAnsi="Times New Roman" w:eastAsia="仿宋_GB2312" w:cs="Times New Roman"/>
          <w:bCs/>
          <w:sz w:val="32"/>
          <w:szCs w:val="32"/>
          <w:highlight w:val="none"/>
        </w:rPr>
        <w:t>为贯彻落实党中央、国务院进一步深化电力体制改革、加快建设全国统一大市场的有关精神，加强全国</w:t>
      </w:r>
      <w:r>
        <w:rPr>
          <w:rFonts w:hint="eastAsia" w:ascii="Times New Roman" w:hAnsi="Times New Roman" w:eastAsia="仿宋_GB2312" w:cs="Times New Roman"/>
          <w:bCs/>
          <w:sz w:val="32"/>
          <w:szCs w:val="32"/>
          <w:highlight w:val="none"/>
          <w:lang w:val="en-US" w:eastAsia="zh-CN"/>
        </w:rPr>
        <w:t>统一</w:t>
      </w:r>
      <w:r>
        <w:rPr>
          <w:rFonts w:hint="eastAsia" w:ascii="Times New Roman" w:hAnsi="Times New Roman" w:eastAsia="仿宋_GB2312" w:cs="Times New Roman"/>
          <w:bCs/>
          <w:sz w:val="32"/>
          <w:szCs w:val="32"/>
          <w:highlight w:val="none"/>
        </w:rPr>
        <w:t>电力市场计量结算管理，维护电力市场秩序和市场成员合法权益，</w:t>
      </w:r>
      <w:r>
        <w:rPr>
          <w:rFonts w:hint="eastAsia" w:ascii="Times New Roman" w:hAnsi="Times New Roman" w:eastAsia="仿宋_GB2312" w:cs="Times New Roman"/>
          <w:bCs/>
          <w:sz w:val="32"/>
          <w:szCs w:val="32"/>
          <w:highlight w:val="none"/>
          <w:lang w:eastAsia="zh-CN"/>
        </w:rPr>
        <w:t>依据</w:t>
      </w:r>
      <w:r>
        <w:rPr>
          <w:rFonts w:hint="eastAsia" w:ascii="Times New Roman" w:hAnsi="Times New Roman" w:eastAsia="仿宋_GB2312" w:cs="Times New Roman"/>
          <w:bCs/>
          <w:sz w:val="32"/>
          <w:szCs w:val="32"/>
          <w:highlight w:val="none"/>
        </w:rPr>
        <w:t>《</w:t>
      </w:r>
      <w:r>
        <w:rPr>
          <w:rFonts w:hint="eastAsia" w:ascii="Times New Roman" w:hAnsi="Times New Roman" w:eastAsia="仿宋_GB2312" w:cs="Times New Roman"/>
          <w:bCs/>
          <w:sz w:val="32"/>
          <w:szCs w:val="32"/>
          <w:highlight w:val="none"/>
          <w:lang w:eastAsia="zh-CN"/>
        </w:rPr>
        <w:t>国家发展改革委</w:t>
      </w:r>
      <w:r>
        <w:rPr>
          <w:rFonts w:hint="eastAsia" w:ascii="Times New Roman" w:hAnsi="Times New Roman" w:eastAsia="仿宋_GB2312" w:cs="Times New Roman"/>
          <w:bCs/>
          <w:sz w:val="32"/>
          <w:szCs w:val="32"/>
          <w:highlight w:val="none"/>
          <w:lang w:val="en-US" w:eastAsia="zh-CN"/>
        </w:rPr>
        <w:t xml:space="preserve"> 国家能源局</w:t>
      </w:r>
      <w:r>
        <w:rPr>
          <w:rFonts w:hint="eastAsia" w:ascii="Times New Roman" w:hAnsi="Times New Roman" w:eastAsia="仿宋_GB2312" w:cs="Times New Roman"/>
          <w:bCs/>
          <w:sz w:val="32"/>
          <w:szCs w:val="32"/>
          <w:highlight w:val="none"/>
        </w:rPr>
        <w:t>关于加快建设全国统一电力市场体系的指导意见》</w:t>
      </w:r>
      <w:r>
        <w:rPr>
          <w:rFonts w:hint="eastAsia" w:ascii="Times New Roman" w:hAnsi="Times New Roman" w:eastAsia="仿宋_GB2312" w:cs="Times New Roman"/>
          <w:bCs/>
          <w:sz w:val="32"/>
          <w:szCs w:val="32"/>
          <w:highlight w:val="none"/>
          <w:lang w:eastAsia="zh-CN"/>
        </w:rPr>
        <w:t>（发改体改</w:t>
      </w:r>
      <w:r>
        <w:rPr>
          <w:rFonts w:hint="eastAsia" w:ascii="Times New Roman" w:hAnsi="Times New Roman" w:eastAsia="仿宋_GB2312" w:cs="仿宋_GB2312"/>
          <w:bCs/>
          <w:sz w:val="32"/>
          <w:szCs w:val="32"/>
          <w:highlight w:val="none"/>
          <w:lang w:eastAsia="zh-CN"/>
        </w:rPr>
        <w:t>〔</w:t>
      </w:r>
      <w:r>
        <w:rPr>
          <w:rFonts w:hint="eastAsia" w:ascii="Times New Roman" w:hAnsi="Times New Roman" w:eastAsia="仿宋_GB2312" w:cs="仿宋_GB2312"/>
          <w:bCs/>
          <w:sz w:val="32"/>
          <w:szCs w:val="32"/>
          <w:highlight w:val="none"/>
          <w:lang w:val="en-US" w:eastAsia="zh-CN"/>
        </w:rPr>
        <w:t>2022</w:t>
      </w:r>
      <w:r>
        <w:rPr>
          <w:rFonts w:hint="eastAsia" w:ascii="Times New Roman" w:hAnsi="Times New Roman" w:eastAsia="仿宋_GB2312" w:cs="仿宋_GB2312"/>
          <w:bCs/>
          <w:sz w:val="32"/>
          <w:szCs w:val="32"/>
          <w:highlight w:val="none"/>
          <w:lang w:eastAsia="zh-CN"/>
        </w:rPr>
        <w:t>〕</w:t>
      </w:r>
      <w:r>
        <w:rPr>
          <w:rFonts w:hint="eastAsia" w:ascii="Times New Roman" w:hAnsi="Times New Roman" w:eastAsia="仿宋_GB2312" w:cs="仿宋_GB2312"/>
          <w:bCs/>
          <w:sz w:val="32"/>
          <w:szCs w:val="32"/>
          <w:highlight w:val="none"/>
          <w:lang w:val="en-US" w:eastAsia="zh-CN"/>
        </w:rPr>
        <w:t>118号</w:t>
      </w:r>
      <w:r>
        <w:rPr>
          <w:rFonts w:hint="eastAsia" w:ascii="Times New Roman" w:hAnsi="Times New Roman" w:eastAsia="仿宋_GB2312" w:cs="Times New Roman"/>
          <w:bCs/>
          <w:sz w:val="32"/>
          <w:szCs w:val="32"/>
          <w:highlight w:val="none"/>
          <w:lang w:eastAsia="zh-CN"/>
        </w:rPr>
        <w:t>）《电力市场监管办法》（国家发展改革委</w:t>
      </w:r>
      <w:r>
        <w:rPr>
          <w:rFonts w:hint="eastAsia" w:ascii="Times New Roman" w:hAnsi="Times New Roman" w:eastAsia="仿宋_GB2312" w:cs="Times New Roman"/>
          <w:bCs/>
          <w:sz w:val="32"/>
          <w:szCs w:val="32"/>
          <w:highlight w:val="none"/>
          <w:lang w:val="en-US" w:eastAsia="zh-CN"/>
        </w:rPr>
        <w:t>第</w:t>
      </w:r>
      <w:r>
        <w:rPr>
          <w:rFonts w:hint="eastAsia" w:ascii="Times New Roman" w:hAnsi="Times New Roman" w:eastAsia="仿宋_GB2312" w:cs="Times New Roman"/>
          <w:bCs/>
          <w:sz w:val="32"/>
          <w:szCs w:val="32"/>
          <w:highlight w:val="none"/>
          <w:lang w:eastAsia="zh-CN"/>
        </w:rPr>
        <w:t>18号令）《电力市场运行基本规则》（国家发展改革委</w:t>
      </w:r>
      <w:r>
        <w:rPr>
          <w:rFonts w:hint="eastAsia" w:ascii="Times New Roman" w:hAnsi="Times New Roman" w:eastAsia="仿宋_GB2312" w:cs="Times New Roman"/>
          <w:bCs/>
          <w:sz w:val="32"/>
          <w:szCs w:val="32"/>
          <w:highlight w:val="none"/>
          <w:lang w:val="en-US" w:eastAsia="zh-CN"/>
        </w:rPr>
        <w:t>第</w:t>
      </w:r>
      <w:r>
        <w:rPr>
          <w:rFonts w:hint="eastAsia" w:ascii="Times New Roman" w:hAnsi="Times New Roman" w:eastAsia="仿宋_GB2312" w:cs="Times New Roman"/>
          <w:bCs/>
          <w:sz w:val="32"/>
          <w:szCs w:val="32"/>
          <w:highlight w:val="none"/>
          <w:lang w:eastAsia="zh-CN"/>
        </w:rPr>
        <w:t>20号令）等有关规定，结合电力市场</w:t>
      </w:r>
      <w:r>
        <w:rPr>
          <w:rFonts w:hint="eastAsia" w:ascii="Times New Roman" w:hAnsi="Times New Roman" w:eastAsia="仿宋_GB2312" w:cs="Times New Roman"/>
          <w:bCs/>
          <w:sz w:val="32"/>
          <w:szCs w:val="32"/>
          <w:highlight w:val="none"/>
          <w:lang w:val="en-US" w:eastAsia="zh-CN"/>
        </w:rPr>
        <w:t>实际</w:t>
      </w:r>
      <w:r>
        <w:rPr>
          <w:rFonts w:hint="eastAsia" w:ascii="Times New Roman" w:hAnsi="Times New Roman" w:eastAsia="仿宋_GB2312" w:cs="Times New Roman"/>
          <w:bCs/>
          <w:sz w:val="32"/>
          <w:szCs w:val="32"/>
          <w:highlight w:val="none"/>
        </w:rPr>
        <w:t>，制定本规则。</w:t>
      </w:r>
    </w:p>
    <w:p w14:paraId="45154C87">
      <w:pPr>
        <w:pStyle w:val="18"/>
        <w:numPr>
          <w:ilvl w:val="0"/>
          <w:numId w:val="1"/>
        </w:numPr>
        <w:snapToGrid w:val="0"/>
        <w:spacing w:line="588" w:lineRule="exact"/>
        <w:ind w:left="0" w:firstLine="640" w:firstLineChars="200"/>
        <w:jc w:val="both"/>
        <w:rPr>
          <w:rFonts w:ascii="Times New Roman" w:hAnsi="Times New Roman"/>
          <w:highlight w:val="none"/>
        </w:rPr>
      </w:pPr>
      <w:r>
        <w:rPr>
          <w:rFonts w:hint="eastAsia" w:ascii="Times New Roman" w:hAnsi="Times New Roman" w:eastAsia="仿宋_GB2312" w:cs="Times New Roman"/>
          <w:bCs/>
          <w:sz w:val="32"/>
          <w:szCs w:val="32"/>
          <w:highlight w:val="none"/>
        </w:rPr>
        <w:t>本规则所称计量是指</w:t>
      </w:r>
      <w:r>
        <w:rPr>
          <w:rFonts w:hint="eastAsia" w:ascii="Times New Roman" w:hAnsi="Times New Roman" w:eastAsia="仿宋_GB2312" w:cs="Times New Roman"/>
          <w:bCs/>
          <w:sz w:val="32"/>
          <w:szCs w:val="32"/>
          <w:highlight w:val="none"/>
          <w:lang w:eastAsia="zh-CN"/>
        </w:rPr>
        <w:t>为满足电力市场结算需求，</w:t>
      </w:r>
      <w:r>
        <w:rPr>
          <w:rFonts w:hint="eastAsia" w:ascii="Times New Roman" w:hAnsi="Times New Roman" w:eastAsia="仿宋_GB2312" w:cs="Times New Roman"/>
          <w:bCs/>
          <w:sz w:val="32"/>
          <w:szCs w:val="32"/>
          <w:highlight w:val="none"/>
        </w:rPr>
        <w:t>对</w:t>
      </w:r>
      <w:r>
        <w:rPr>
          <w:rFonts w:hint="eastAsia" w:ascii="Times New Roman" w:hAnsi="Times New Roman" w:eastAsia="仿宋_GB2312" w:cs="Times New Roman"/>
          <w:bCs/>
          <w:sz w:val="32"/>
          <w:szCs w:val="32"/>
          <w:highlight w:val="none"/>
          <w:lang w:val="en-US" w:eastAsia="zh-CN"/>
        </w:rPr>
        <w:t>市场</w:t>
      </w:r>
      <w:r>
        <w:rPr>
          <w:rFonts w:hint="eastAsia" w:ascii="Times New Roman" w:hAnsi="Times New Roman" w:eastAsia="仿宋_GB2312" w:cs="Times New Roman"/>
          <w:bCs/>
          <w:sz w:val="32"/>
          <w:szCs w:val="32"/>
          <w:highlight w:val="none"/>
        </w:rPr>
        <w:t>经营主体的电能量</w:t>
      </w:r>
      <w:r>
        <w:rPr>
          <w:rFonts w:hint="eastAsia" w:ascii="Times New Roman" w:hAnsi="Times New Roman" w:eastAsia="仿宋_GB2312" w:cs="Times New Roman"/>
          <w:bCs/>
          <w:sz w:val="32"/>
          <w:szCs w:val="32"/>
          <w:highlight w:val="none"/>
          <w:lang w:eastAsia="zh-CN"/>
        </w:rPr>
        <w:t>、功率</w:t>
      </w:r>
      <w:r>
        <w:rPr>
          <w:rFonts w:hint="eastAsia" w:ascii="Times New Roman" w:hAnsi="Times New Roman" w:eastAsia="仿宋_GB2312" w:cs="Times New Roman"/>
          <w:bCs/>
          <w:sz w:val="32"/>
          <w:szCs w:val="32"/>
          <w:highlight w:val="none"/>
        </w:rPr>
        <w:t>等数据进行测量、</w:t>
      </w:r>
      <w:r>
        <w:rPr>
          <w:rFonts w:hint="eastAsia" w:ascii="Times New Roman" w:hAnsi="Times New Roman" w:eastAsia="仿宋_GB2312" w:cs="Times New Roman"/>
          <w:bCs/>
          <w:sz w:val="32"/>
          <w:szCs w:val="32"/>
          <w:highlight w:val="none"/>
          <w:lang w:val="en-US" w:eastAsia="zh-CN"/>
        </w:rPr>
        <w:t>记录</w:t>
      </w:r>
      <w:r>
        <w:rPr>
          <w:rFonts w:hint="eastAsia" w:ascii="Times New Roman" w:hAnsi="Times New Roman" w:eastAsia="仿宋_GB2312" w:cs="Times New Roman"/>
          <w:bCs/>
          <w:sz w:val="32"/>
          <w:szCs w:val="32"/>
          <w:highlight w:val="none"/>
          <w:lang w:eastAsia="zh-CN"/>
        </w:rPr>
        <w:t>，并提供相关数据</w:t>
      </w:r>
      <w:r>
        <w:rPr>
          <w:rFonts w:hint="eastAsia" w:ascii="Times New Roman" w:hAnsi="Times New Roman" w:eastAsia="仿宋_GB2312" w:cs="Times New Roman"/>
          <w:bCs/>
          <w:sz w:val="32"/>
          <w:szCs w:val="32"/>
          <w:highlight w:val="none"/>
        </w:rPr>
        <w:t>的行为。</w:t>
      </w:r>
    </w:p>
    <w:p w14:paraId="3473C16D">
      <w:pPr>
        <w:pStyle w:val="18"/>
        <w:numPr>
          <w:ilvl w:val="0"/>
          <w:numId w:val="1"/>
        </w:numPr>
        <w:snapToGrid w:val="0"/>
        <w:spacing w:line="588" w:lineRule="exact"/>
        <w:ind w:left="0" w:firstLine="640" w:firstLineChars="200"/>
        <w:jc w:val="both"/>
        <w:rPr>
          <w:rFonts w:ascii="Times New Roman" w:hAnsi="Times New Roman" w:eastAsia="仿宋_GB2312" w:cs="Times New Roman"/>
          <w:bCs/>
          <w:sz w:val="32"/>
          <w:szCs w:val="32"/>
          <w:highlight w:val="none"/>
        </w:rPr>
      </w:pPr>
      <w:r>
        <w:rPr>
          <w:rFonts w:hint="eastAsia" w:ascii="Times New Roman" w:hAnsi="Times New Roman" w:eastAsia="仿宋_GB2312" w:cs="Times New Roman"/>
          <w:bCs/>
          <w:sz w:val="32"/>
          <w:szCs w:val="32"/>
          <w:highlight w:val="none"/>
        </w:rPr>
        <w:t>本规则所称</w:t>
      </w:r>
      <w:r>
        <w:rPr>
          <w:rFonts w:hint="eastAsia" w:ascii="Times New Roman" w:hAnsi="Times New Roman" w:eastAsia="仿宋_GB2312" w:cs="Times New Roman"/>
          <w:bCs/>
          <w:sz w:val="32"/>
          <w:szCs w:val="32"/>
          <w:highlight w:val="none"/>
          <w:lang w:val="en-US" w:eastAsia="zh-CN"/>
        </w:rPr>
        <w:t>结算包括形成结算依据和电费结算。其中，形成</w:t>
      </w:r>
      <w:r>
        <w:rPr>
          <w:rFonts w:hint="eastAsia" w:ascii="Times New Roman" w:hAnsi="Times New Roman" w:eastAsia="仿宋_GB2312" w:cs="Times New Roman"/>
          <w:bCs/>
          <w:sz w:val="32"/>
          <w:szCs w:val="32"/>
          <w:highlight w:val="none"/>
        </w:rPr>
        <w:t>结算</w:t>
      </w:r>
      <w:r>
        <w:rPr>
          <w:rFonts w:hint="eastAsia" w:ascii="Times New Roman" w:hAnsi="Times New Roman" w:eastAsia="仿宋_GB2312" w:cs="Times New Roman"/>
          <w:bCs/>
          <w:sz w:val="32"/>
          <w:szCs w:val="32"/>
          <w:highlight w:val="none"/>
          <w:lang w:val="en-US" w:eastAsia="zh-CN"/>
        </w:rPr>
        <w:t>依据</w:t>
      </w:r>
      <w:r>
        <w:rPr>
          <w:rFonts w:hint="eastAsia" w:ascii="Times New Roman" w:hAnsi="Times New Roman" w:eastAsia="仿宋_GB2312" w:cs="Times New Roman"/>
          <w:bCs/>
          <w:sz w:val="32"/>
          <w:szCs w:val="32"/>
          <w:highlight w:val="none"/>
        </w:rPr>
        <w:t>是指</w:t>
      </w:r>
      <w:r>
        <w:rPr>
          <w:rFonts w:hint="eastAsia" w:ascii="Times New Roman" w:hAnsi="Times New Roman" w:eastAsia="仿宋_GB2312" w:cs="Times New Roman"/>
          <w:bCs/>
          <w:sz w:val="32"/>
          <w:szCs w:val="32"/>
          <w:highlight w:val="none"/>
          <w:lang w:val="en-US" w:eastAsia="zh-CN"/>
        </w:rPr>
        <w:t>电力交易机构根据有关政策文件和市场规则要求，向市场经营主体和电网企业提供电力市场结算依据和服务的行为；电费</w:t>
      </w:r>
      <w:r>
        <w:rPr>
          <w:rFonts w:hint="eastAsia" w:ascii="Times New Roman" w:hAnsi="Times New Roman" w:eastAsia="仿宋_GB2312" w:cs="Times New Roman"/>
          <w:bCs/>
          <w:sz w:val="32"/>
          <w:szCs w:val="32"/>
          <w:highlight w:val="none"/>
        </w:rPr>
        <w:t>结算是指电网企业</w:t>
      </w:r>
      <w:r>
        <w:rPr>
          <w:rFonts w:hint="eastAsia" w:ascii="Times New Roman" w:hAnsi="Times New Roman" w:eastAsia="仿宋_GB2312" w:cs="Times New Roman"/>
          <w:bCs/>
          <w:sz w:val="32"/>
          <w:szCs w:val="32"/>
          <w:highlight w:val="none"/>
          <w:lang w:val="en-US" w:eastAsia="zh-CN"/>
        </w:rPr>
        <w:t>受经营主体委托，根据政策文件和结算依据等，对市场经营主体电费进行计算，编制发行</w:t>
      </w:r>
      <w:r>
        <w:rPr>
          <w:rFonts w:hint="eastAsia" w:ascii="Times New Roman" w:hAnsi="Times New Roman" w:eastAsia="仿宋_GB2312" w:cs="Times New Roman"/>
          <w:bCs/>
          <w:sz w:val="32"/>
          <w:szCs w:val="32"/>
          <w:highlight w:val="none"/>
        </w:rPr>
        <w:t>电费</w:t>
      </w:r>
      <w:r>
        <w:rPr>
          <w:rFonts w:hint="eastAsia" w:ascii="Times New Roman" w:hAnsi="Times New Roman" w:eastAsia="仿宋_GB2312" w:cs="Times New Roman"/>
          <w:bCs/>
          <w:sz w:val="32"/>
          <w:szCs w:val="32"/>
          <w:highlight w:val="none"/>
          <w:lang w:val="en-US" w:eastAsia="zh-CN"/>
        </w:rPr>
        <w:t>账单，并</w:t>
      </w:r>
      <w:r>
        <w:rPr>
          <w:rFonts w:hint="eastAsia" w:ascii="Times New Roman" w:hAnsi="Times New Roman" w:eastAsia="仿宋_GB2312" w:cs="仿宋_GB2312"/>
          <w:bCs/>
          <w:sz w:val="32"/>
          <w:szCs w:val="32"/>
          <w:highlight w:val="none"/>
          <w:lang w:val="en-US" w:eastAsia="zh-CN"/>
        </w:rPr>
        <w:t>进行</w:t>
      </w:r>
      <w:r>
        <w:rPr>
          <w:rFonts w:hint="eastAsia" w:ascii="Times New Roman" w:hAnsi="Times New Roman" w:eastAsia="仿宋_GB2312" w:cs="Times New Roman"/>
          <w:bCs/>
          <w:sz w:val="32"/>
          <w:szCs w:val="32"/>
          <w:highlight w:val="none"/>
        </w:rPr>
        <w:t>电费收付的行为。</w:t>
      </w:r>
    </w:p>
    <w:p w14:paraId="3811CAE4">
      <w:pPr>
        <w:pStyle w:val="18"/>
        <w:numPr>
          <w:ilvl w:val="0"/>
          <w:numId w:val="1"/>
        </w:numPr>
        <w:snapToGrid w:val="0"/>
        <w:spacing w:line="588" w:lineRule="exact"/>
        <w:ind w:left="0" w:firstLine="640" w:firstLineChars="200"/>
        <w:jc w:val="both"/>
        <w:rPr>
          <w:rFonts w:ascii="Times New Roman" w:hAnsi="Times New Roman" w:eastAsia="仿宋_GB2312" w:cs="Times New Roman"/>
          <w:bCs/>
          <w:sz w:val="32"/>
          <w:szCs w:val="32"/>
          <w:highlight w:val="none"/>
        </w:rPr>
      </w:pPr>
      <w:r>
        <w:rPr>
          <w:rFonts w:hint="eastAsia" w:ascii="Times New Roman" w:hAnsi="Times New Roman" w:eastAsia="仿宋_GB2312" w:cs="Times New Roman"/>
          <w:bCs/>
          <w:sz w:val="32"/>
          <w:szCs w:val="32"/>
          <w:highlight w:val="none"/>
        </w:rPr>
        <w:t>本规则适用于</w:t>
      </w:r>
      <w:r>
        <w:rPr>
          <w:rFonts w:hint="eastAsia" w:ascii="Times New Roman" w:hAnsi="Times New Roman" w:eastAsia="仿宋_GB2312" w:cs="Times New Roman"/>
          <w:bCs/>
          <w:sz w:val="32"/>
          <w:szCs w:val="32"/>
          <w:highlight w:val="none"/>
          <w:lang w:eastAsia="zh-CN"/>
        </w:rPr>
        <w:t>电力中长期</w:t>
      </w:r>
      <w:r>
        <w:rPr>
          <w:rFonts w:hint="eastAsia" w:ascii="Times New Roman" w:hAnsi="Times New Roman" w:eastAsia="仿宋_GB2312" w:cs="Times New Roman"/>
          <w:bCs/>
          <w:sz w:val="32"/>
          <w:szCs w:val="32"/>
          <w:highlight w:val="none"/>
          <w:lang w:val="en-US" w:eastAsia="zh-CN"/>
        </w:rPr>
        <w:t>市场</w:t>
      </w:r>
      <w:r>
        <w:rPr>
          <w:rFonts w:hint="eastAsia" w:ascii="Times New Roman" w:hAnsi="Times New Roman" w:eastAsia="仿宋_GB2312" w:cs="Times New Roman"/>
          <w:bCs/>
          <w:sz w:val="32"/>
          <w:szCs w:val="32"/>
          <w:highlight w:val="none"/>
          <w:lang w:eastAsia="zh-CN"/>
        </w:rPr>
        <w:t>、现货</w:t>
      </w:r>
      <w:r>
        <w:rPr>
          <w:rFonts w:hint="eastAsia" w:ascii="Times New Roman" w:hAnsi="Times New Roman" w:eastAsia="仿宋_GB2312" w:cs="Times New Roman"/>
          <w:bCs/>
          <w:sz w:val="32"/>
          <w:szCs w:val="32"/>
          <w:highlight w:val="none"/>
          <w:lang w:val="en-US" w:eastAsia="zh-CN"/>
        </w:rPr>
        <w:t>市场</w:t>
      </w:r>
      <w:r>
        <w:rPr>
          <w:rFonts w:hint="eastAsia" w:ascii="Times New Roman" w:hAnsi="Times New Roman" w:eastAsia="仿宋_GB2312" w:cs="Times New Roman"/>
          <w:bCs/>
          <w:sz w:val="32"/>
          <w:szCs w:val="32"/>
          <w:highlight w:val="none"/>
          <w:lang w:eastAsia="zh-CN"/>
        </w:rPr>
        <w:t>、辅助服务</w:t>
      </w:r>
      <w:r>
        <w:rPr>
          <w:rFonts w:hint="eastAsia" w:ascii="Times New Roman" w:hAnsi="Times New Roman" w:eastAsia="仿宋_GB2312" w:cs="Times New Roman"/>
          <w:bCs/>
          <w:sz w:val="32"/>
          <w:szCs w:val="32"/>
          <w:highlight w:val="none"/>
          <w:lang w:val="en-US" w:eastAsia="zh-CN"/>
        </w:rPr>
        <w:t>市场、</w:t>
      </w:r>
      <w:r>
        <w:rPr>
          <w:rFonts w:hint="eastAsia" w:ascii="Times New Roman" w:hAnsi="Times New Roman" w:eastAsia="仿宋_GB2312" w:cs="Times New Roman"/>
          <w:bCs/>
          <w:sz w:val="32"/>
          <w:szCs w:val="32"/>
          <w:highlight w:val="none"/>
          <w:lang w:eastAsia="zh-CN"/>
        </w:rPr>
        <w:t>零售市场等</w:t>
      </w:r>
      <w:r>
        <w:rPr>
          <w:rFonts w:hint="eastAsia" w:ascii="Times New Roman" w:hAnsi="Times New Roman" w:eastAsia="仿宋_GB2312" w:cs="Times New Roman"/>
          <w:bCs/>
          <w:sz w:val="32"/>
          <w:szCs w:val="32"/>
          <w:highlight w:val="none"/>
        </w:rPr>
        <w:t>各类电力市场的计量结算</w:t>
      </w:r>
      <w:r>
        <w:rPr>
          <w:rFonts w:hint="eastAsia" w:ascii="Times New Roman" w:hAnsi="Times New Roman" w:eastAsia="仿宋_GB2312" w:cs="Times New Roman"/>
          <w:bCs/>
          <w:sz w:val="32"/>
          <w:szCs w:val="32"/>
          <w:highlight w:val="none"/>
          <w:lang w:val="en-US" w:eastAsia="zh-CN"/>
        </w:rPr>
        <w:t>。</w:t>
      </w:r>
    </w:p>
    <w:p w14:paraId="586846F5">
      <w:pPr>
        <w:pStyle w:val="18"/>
        <w:numPr>
          <w:ilvl w:val="0"/>
          <w:numId w:val="1"/>
        </w:numPr>
        <w:snapToGrid w:val="0"/>
        <w:spacing w:line="588" w:lineRule="exact"/>
        <w:ind w:left="0" w:firstLine="640" w:firstLineChars="200"/>
        <w:jc w:val="both"/>
        <w:rPr>
          <w:rFonts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国务院及省级价格主管部门负责制定结算价格相关政策，并对电费结算工作进行监督指导。国家能源局及其派出机构对电力市场计量结算行为进行监管。电力</w:t>
      </w:r>
      <w:r>
        <w:rPr>
          <w:rFonts w:hint="eastAsia" w:ascii="Times New Roman" w:hAnsi="Times New Roman" w:eastAsia="仿宋_GB2312" w:cs="仿宋_GB2312"/>
          <w:sz w:val="32"/>
          <w:szCs w:val="32"/>
          <w:highlight w:val="none"/>
        </w:rPr>
        <w:t>市场成员应按照政策要求和电力市场运行规则规定的方式开展计量</w:t>
      </w:r>
      <w:r>
        <w:rPr>
          <w:rFonts w:hint="eastAsia" w:ascii="Times New Roman" w:hAnsi="Times New Roman" w:eastAsia="仿宋_GB2312" w:cs="仿宋_GB2312"/>
          <w:sz w:val="32"/>
          <w:szCs w:val="32"/>
          <w:highlight w:val="none"/>
          <w:lang w:val="en-US" w:eastAsia="zh-CN"/>
        </w:rPr>
        <w:t>和</w:t>
      </w:r>
      <w:r>
        <w:rPr>
          <w:rFonts w:hint="eastAsia" w:ascii="Times New Roman" w:hAnsi="Times New Roman" w:eastAsia="仿宋_GB2312" w:cs="仿宋_GB2312"/>
          <w:sz w:val="32"/>
          <w:szCs w:val="32"/>
          <w:highlight w:val="none"/>
        </w:rPr>
        <w:t>结算业务</w:t>
      </w:r>
      <w:r>
        <w:rPr>
          <w:rFonts w:hint="eastAsia" w:ascii="Times New Roman" w:hAnsi="Times New Roman" w:eastAsia="仿宋_GB2312" w:cs="Times New Roman"/>
          <w:bCs/>
          <w:sz w:val="32"/>
          <w:szCs w:val="32"/>
          <w:highlight w:val="none"/>
        </w:rPr>
        <w:t>。</w:t>
      </w:r>
    </w:p>
    <w:p w14:paraId="060CE355">
      <w:pPr>
        <w:pStyle w:val="18"/>
        <w:numPr>
          <w:ilvl w:val="0"/>
          <w:numId w:val="1"/>
        </w:numPr>
        <w:snapToGrid w:val="0"/>
        <w:spacing w:line="588" w:lineRule="exact"/>
        <w:ind w:left="0" w:firstLine="640" w:firstLineChars="0"/>
        <w:jc w:val="both"/>
        <w:outlineLvl w:val="9"/>
        <w:rPr>
          <w:rFonts w:hint="eastAsia" w:ascii="Times New Roman" w:hAnsi="Times New Roman" w:eastAsia="仿宋_GB2312" w:cs="Times New Roman"/>
          <w:bCs/>
          <w:sz w:val="32"/>
          <w:szCs w:val="32"/>
          <w:highlight w:val="none"/>
        </w:rPr>
      </w:pPr>
      <w:bookmarkStart w:id="25" w:name="_Toc3552"/>
      <w:r>
        <w:rPr>
          <w:rFonts w:hint="eastAsia" w:ascii="Times New Roman" w:hAnsi="Times New Roman" w:eastAsia="仿宋_GB2312" w:cs="Times New Roman"/>
          <w:bCs/>
          <w:sz w:val="32"/>
          <w:szCs w:val="32"/>
          <w:highlight w:val="none"/>
          <w:lang w:eastAsia="zh-CN"/>
        </w:rPr>
        <w:t>参与电力市场的</w:t>
      </w:r>
      <w:r>
        <w:rPr>
          <w:rFonts w:hint="eastAsia" w:ascii="Times New Roman" w:hAnsi="Times New Roman" w:eastAsia="仿宋_GB2312" w:cs="Times New Roman"/>
          <w:bCs/>
          <w:sz w:val="32"/>
          <w:szCs w:val="32"/>
          <w:highlight w:val="none"/>
        </w:rPr>
        <w:t>虚拟电厂</w:t>
      </w:r>
      <w:r>
        <w:rPr>
          <w:rFonts w:hint="eastAsia" w:ascii="Times New Roman" w:hAnsi="Times New Roman" w:eastAsia="仿宋_GB2312" w:cs="Times New Roman"/>
          <w:bCs/>
          <w:sz w:val="32"/>
          <w:szCs w:val="32"/>
          <w:highlight w:val="none"/>
          <w:lang w:eastAsia="zh-CN"/>
        </w:rPr>
        <w:t>（聚合商）、</w:t>
      </w:r>
      <w:r>
        <w:rPr>
          <w:rFonts w:hint="eastAsia" w:ascii="Times New Roman" w:hAnsi="Times New Roman" w:eastAsia="仿宋_GB2312" w:cs="Times New Roman"/>
          <w:bCs/>
          <w:sz w:val="32"/>
          <w:szCs w:val="32"/>
          <w:highlight w:val="none"/>
          <w:lang w:val="en-US" w:eastAsia="zh-CN"/>
        </w:rPr>
        <w:t>新型储能</w:t>
      </w:r>
      <w:r>
        <w:rPr>
          <w:rFonts w:hint="eastAsia" w:ascii="Times New Roman" w:hAnsi="Times New Roman" w:eastAsia="仿宋_GB2312" w:cs="Times New Roman"/>
          <w:bCs/>
          <w:sz w:val="32"/>
          <w:szCs w:val="32"/>
          <w:highlight w:val="none"/>
        </w:rPr>
        <w:t>等新型经营主体</w:t>
      </w:r>
      <w:r>
        <w:rPr>
          <w:rFonts w:hint="eastAsia" w:ascii="Times New Roman" w:hAnsi="Times New Roman" w:eastAsia="仿宋_GB2312" w:cs="Times New Roman"/>
          <w:bCs/>
          <w:sz w:val="32"/>
          <w:szCs w:val="32"/>
          <w:highlight w:val="none"/>
          <w:lang w:val="en-US" w:eastAsia="zh-CN"/>
        </w:rPr>
        <w:t>遵照本规则执行，电力交易机构和电网公司应结算到户。</w:t>
      </w:r>
      <w:bookmarkEnd w:id="25"/>
    </w:p>
    <w:p w14:paraId="6B0F53B4">
      <w:pPr>
        <w:numPr>
          <w:ilvl w:val="255"/>
          <w:numId w:val="0"/>
        </w:numPr>
        <w:snapToGrid w:val="0"/>
        <w:spacing w:line="588" w:lineRule="exact"/>
        <w:jc w:val="center"/>
        <w:outlineLvl w:val="0"/>
        <w:rPr>
          <w:rFonts w:hint="eastAsia" w:ascii="Times New Roman" w:hAnsi="Times New Roman" w:eastAsia="黑体" w:cs="黑体"/>
          <w:sz w:val="32"/>
          <w:szCs w:val="32"/>
          <w:highlight w:val="none"/>
        </w:rPr>
      </w:pPr>
      <w:bookmarkStart w:id="26" w:name="_Toc26361"/>
      <w:bookmarkStart w:id="27" w:name="_Toc25421"/>
      <w:bookmarkStart w:id="28" w:name="_Toc5165"/>
    </w:p>
    <w:p w14:paraId="104A28C8">
      <w:pPr>
        <w:numPr>
          <w:ilvl w:val="255"/>
          <w:numId w:val="0"/>
        </w:numPr>
        <w:snapToGrid w:val="0"/>
        <w:spacing w:line="588" w:lineRule="exact"/>
        <w:jc w:val="center"/>
        <w:outlineLvl w:val="0"/>
        <w:rPr>
          <w:rFonts w:hint="eastAsia" w:ascii="Times New Roman" w:hAnsi="Times New Roman" w:eastAsia="黑体" w:cs="黑体"/>
          <w:sz w:val="32"/>
          <w:szCs w:val="32"/>
          <w:highlight w:val="none"/>
        </w:rPr>
      </w:pPr>
      <w:bookmarkStart w:id="29" w:name="_Toc4109"/>
      <w:bookmarkStart w:id="30" w:name="_Toc14435"/>
      <w:bookmarkStart w:id="31" w:name="_Toc5774"/>
      <w:bookmarkStart w:id="32" w:name="_Toc16800"/>
      <w:bookmarkStart w:id="33" w:name="_Toc19586"/>
      <w:bookmarkStart w:id="34" w:name="_Toc24582"/>
      <w:r>
        <w:rPr>
          <w:rFonts w:hint="eastAsia" w:ascii="Times New Roman" w:hAnsi="Times New Roman" w:eastAsia="黑体" w:cs="黑体"/>
          <w:sz w:val="32"/>
          <w:szCs w:val="32"/>
          <w:highlight w:val="none"/>
        </w:rPr>
        <w:t>第二章 总体要求</w:t>
      </w:r>
      <w:bookmarkEnd w:id="26"/>
      <w:bookmarkEnd w:id="27"/>
      <w:bookmarkEnd w:id="28"/>
      <w:bookmarkEnd w:id="29"/>
      <w:bookmarkEnd w:id="30"/>
      <w:bookmarkEnd w:id="31"/>
      <w:bookmarkEnd w:id="32"/>
      <w:bookmarkEnd w:id="33"/>
      <w:bookmarkEnd w:id="34"/>
    </w:p>
    <w:p w14:paraId="1D29A391">
      <w:pPr>
        <w:snapToGrid w:val="0"/>
        <w:spacing w:line="588" w:lineRule="exact"/>
        <w:jc w:val="center"/>
        <w:outlineLvl w:val="1"/>
        <w:rPr>
          <w:rFonts w:ascii="Times New Roman" w:hAnsi="Times New Roman" w:eastAsia="楷体_GB2312" w:cs="Times New Roman"/>
          <w:sz w:val="32"/>
          <w:szCs w:val="32"/>
          <w:highlight w:val="none"/>
        </w:rPr>
      </w:pPr>
      <w:bookmarkStart w:id="35" w:name="_Toc28587"/>
      <w:bookmarkStart w:id="36" w:name="_Toc8900"/>
      <w:bookmarkStart w:id="37" w:name="_Toc32053"/>
      <w:bookmarkStart w:id="38" w:name="_Toc24662"/>
      <w:bookmarkStart w:id="39" w:name="_Toc6172"/>
      <w:bookmarkStart w:id="40" w:name="_Toc31154"/>
      <w:bookmarkStart w:id="41" w:name="_Toc27055"/>
      <w:bookmarkStart w:id="42" w:name="_Toc31500"/>
      <w:bookmarkStart w:id="43" w:name="_Toc26111"/>
      <w:r>
        <w:rPr>
          <w:rFonts w:ascii="Times New Roman" w:hAnsi="Times New Roman" w:eastAsia="楷体_GB2312" w:cs="Times New Roman"/>
          <w:sz w:val="32"/>
          <w:szCs w:val="32"/>
          <w:highlight w:val="none"/>
          <w:lang w:val="zh-CN"/>
        </w:rPr>
        <w:t>第</w:t>
      </w:r>
      <w:r>
        <w:rPr>
          <w:rFonts w:hint="eastAsia" w:ascii="Times New Roman" w:hAnsi="Times New Roman" w:eastAsia="楷体_GB2312" w:cs="Times New Roman"/>
          <w:sz w:val="32"/>
          <w:szCs w:val="32"/>
          <w:highlight w:val="none"/>
        </w:rPr>
        <w:t>一</w:t>
      </w:r>
      <w:r>
        <w:rPr>
          <w:rFonts w:ascii="Times New Roman" w:hAnsi="Times New Roman" w:eastAsia="楷体_GB2312" w:cs="Times New Roman"/>
          <w:sz w:val="32"/>
          <w:szCs w:val="32"/>
          <w:highlight w:val="none"/>
          <w:lang w:val="zh-CN"/>
        </w:rPr>
        <w:t xml:space="preserve">节 </w:t>
      </w:r>
      <w:r>
        <w:rPr>
          <w:rFonts w:hint="eastAsia" w:ascii="Times New Roman" w:hAnsi="Times New Roman" w:eastAsia="楷体_GB2312" w:cs="Times New Roman"/>
          <w:sz w:val="32"/>
          <w:szCs w:val="32"/>
          <w:highlight w:val="none"/>
          <w:lang w:val="en-US" w:eastAsia="zh-CN"/>
        </w:rPr>
        <w:t>基本原则</w:t>
      </w:r>
      <w:bookmarkEnd w:id="35"/>
      <w:bookmarkEnd w:id="36"/>
      <w:bookmarkEnd w:id="37"/>
      <w:bookmarkEnd w:id="38"/>
      <w:bookmarkEnd w:id="39"/>
      <w:bookmarkEnd w:id="40"/>
      <w:bookmarkEnd w:id="41"/>
      <w:bookmarkEnd w:id="42"/>
      <w:bookmarkEnd w:id="43"/>
    </w:p>
    <w:p w14:paraId="7BA3C2A6">
      <w:pPr>
        <w:pStyle w:val="18"/>
        <w:numPr>
          <w:ilvl w:val="0"/>
          <w:numId w:val="1"/>
        </w:numPr>
        <w:snapToGrid w:val="0"/>
        <w:spacing w:line="588" w:lineRule="exact"/>
        <w:ind w:left="0" w:firstLine="640"/>
        <w:jc w:val="both"/>
        <w:rPr>
          <w:rFonts w:ascii="Times New Roman" w:hAnsi="Times New Roman" w:eastAsia="仿宋_GB2312" w:cs="仿宋_GB2312"/>
          <w:sz w:val="32"/>
          <w:szCs w:val="32"/>
          <w:highlight w:val="none"/>
        </w:rPr>
      </w:pPr>
      <w:r>
        <w:rPr>
          <w:rFonts w:hint="eastAsia" w:ascii="Times New Roman" w:hAnsi="Times New Roman" w:eastAsia="仿宋_GB2312" w:cs="Times New Roman"/>
          <w:bCs/>
          <w:sz w:val="32"/>
          <w:szCs w:val="32"/>
          <w:highlight w:val="none"/>
        </w:rPr>
        <w:t>电力市场计量结算应当遵循依法依规、公平公正的原则，保证计量量值</w:t>
      </w:r>
      <w:r>
        <w:rPr>
          <w:rFonts w:ascii="Times New Roman" w:hAnsi="Times New Roman" w:eastAsia="仿宋_GB2312" w:cs="Times New Roman"/>
          <w:bCs/>
          <w:sz w:val="32"/>
          <w:szCs w:val="32"/>
          <w:highlight w:val="none"/>
        </w:rPr>
        <w:t>溯源</w:t>
      </w:r>
      <w:r>
        <w:rPr>
          <w:rFonts w:hint="eastAsia" w:ascii="Times New Roman" w:hAnsi="Times New Roman" w:eastAsia="仿宋_GB2312" w:cs="Times New Roman"/>
          <w:bCs/>
          <w:sz w:val="32"/>
          <w:szCs w:val="32"/>
          <w:highlight w:val="none"/>
        </w:rPr>
        <w:t>性，保障结算准确、及时</w:t>
      </w:r>
      <w:r>
        <w:rPr>
          <w:rFonts w:ascii="Times New Roman" w:hAnsi="Times New Roman" w:eastAsia="仿宋_GB2312" w:cs="Times New Roman"/>
          <w:bCs/>
          <w:sz w:val="32"/>
          <w:szCs w:val="32"/>
          <w:highlight w:val="none"/>
        </w:rPr>
        <w:t>，</w:t>
      </w:r>
      <w:r>
        <w:rPr>
          <w:rFonts w:hint="eastAsia" w:ascii="Times New Roman" w:hAnsi="Times New Roman" w:eastAsia="仿宋_GB2312" w:cs="Times New Roman"/>
          <w:sz w:val="32"/>
          <w:szCs w:val="32"/>
          <w:highlight w:val="none"/>
        </w:rPr>
        <w:t>切实维护电力市场秩序和</w:t>
      </w:r>
      <w:r>
        <w:rPr>
          <w:rFonts w:hint="eastAsia" w:ascii="Times New Roman" w:hAnsi="Times New Roman" w:eastAsia="仿宋_GB2312" w:cs="Times New Roman"/>
          <w:sz w:val="32"/>
          <w:szCs w:val="32"/>
          <w:highlight w:val="none"/>
          <w:lang w:val="en-US" w:eastAsia="zh-CN"/>
        </w:rPr>
        <w:t>市场</w:t>
      </w:r>
      <w:r>
        <w:rPr>
          <w:rFonts w:hint="eastAsia" w:ascii="Times New Roman" w:hAnsi="Times New Roman" w:eastAsia="仿宋_GB2312" w:cs="Times New Roman"/>
          <w:sz w:val="32"/>
          <w:szCs w:val="32"/>
          <w:highlight w:val="none"/>
        </w:rPr>
        <w:t>经营主体权益。</w:t>
      </w:r>
    </w:p>
    <w:p w14:paraId="27269809">
      <w:pPr>
        <w:pStyle w:val="18"/>
        <w:numPr>
          <w:ilvl w:val="0"/>
          <w:numId w:val="1"/>
        </w:numPr>
        <w:snapToGrid w:val="0"/>
        <w:spacing w:line="588" w:lineRule="exact"/>
        <w:ind w:left="0" w:firstLine="640"/>
        <w:jc w:val="both"/>
        <w:rPr>
          <w:rFonts w:ascii="Times New Roman" w:hAnsi="Times New Roman" w:eastAsia="仿宋_GB2312" w:cs="Times New Roman"/>
          <w:bCs/>
          <w:sz w:val="32"/>
          <w:szCs w:val="32"/>
          <w:highlight w:val="none"/>
        </w:rPr>
      </w:pPr>
      <w:r>
        <w:rPr>
          <w:rFonts w:hint="eastAsia" w:ascii="Times New Roman" w:hAnsi="Times New Roman" w:eastAsia="仿宋_GB2312" w:cs="Times New Roman"/>
          <w:bCs/>
          <w:sz w:val="32"/>
          <w:szCs w:val="32"/>
          <w:highlight w:val="none"/>
          <w:lang w:val="en-US" w:eastAsia="zh-CN"/>
        </w:rPr>
        <w:t>电力市场结算</w:t>
      </w:r>
      <w:r>
        <w:rPr>
          <w:rFonts w:hint="eastAsia" w:ascii="Times New Roman" w:hAnsi="Times New Roman" w:eastAsia="仿宋_GB2312" w:cs="仿宋_GB2312"/>
          <w:bCs/>
          <w:sz w:val="32"/>
          <w:szCs w:val="32"/>
          <w:highlight w:val="none"/>
          <w:lang w:val="en-US" w:eastAsia="zh-CN"/>
        </w:rPr>
        <w:t>包括电能量市场结算、电力辅助服务市场结算、</w:t>
      </w:r>
      <w:r>
        <w:rPr>
          <w:rFonts w:hint="eastAsia" w:ascii="Times New Roman" w:hAnsi="Times New Roman" w:eastAsia="仿宋_GB2312" w:cs="仿宋_GB2312"/>
          <w:bCs/>
          <w:sz w:val="32"/>
          <w:szCs w:val="32"/>
        </w:rPr>
        <w:t>零售市场结算</w:t>
      </w:r>
      <w:r>
        <w:rPr>
          <w:rFonts w:hint="eastAsia" w:ascii="Times New Roman" w:hAnsi="Times New Roman" w:eastAsia="仿宋_GB2312" w:cs="仿宋_GB2312"/>
          <w:bCs/>
          <w:sz w:val="32"/>
          <w:szCs w:val="32"/>
          <w:highlight w:val="none"/>
          <w:lang w:val="en-US" w:eastAsia="zh-CN"/>
        </w:rPr>
        <w:t>等。</w:t>
      </w:r>
      <w:r>
        <w:rPr>
          <w:rFonts w:hint="eastAsia" w:ascii="Times New Roman" w:hAnsi="Times New Roman" w:eastAsia="仿宋_GB2312" w:cs="Times New Roman"/>
          <w:bCs/>
          <w:sz w:val="32"/>
          <w:szCs w:val="32"/>
          <w:highlight w:val="none"/>
        </w:rPr>
        <w:t>电费结算</w:t>
      </w:r>
      <w:r>
        <w:rPr>
          <w:rFonts w:hint="eastAsia" w:ascii="Times New Roman" w:hAnsi="Times New Roman" w:eastAsia="仿宋_GB2312" w:cs="Times New Roman"/>
          <w:bCs/>
          <w:sz w:val="32"/>
          <w:szCs w:val="32"/>
          <w:highlight w:val="none"/>
          <w:lang w:val="en-US" w:eastAsia="zh-CN"/>
        </w:rPr>
        <w:t>相关事宜</w:t>
      </w:r>
      <w:r>
        <w:rPr>
          <w:rFonts w:hint="eastAsia" w:ascii="Times New Roman" w:hAnsi="Times New Roman" w:eastAsia="仿宋_GB2312" w:cs="Times New Roman"/>
          <w:bCs/>
          <w:sz w:val="32"/>
          <w:szCs w:val="32"/>
          <w:highlight w:val="none"/>
        </w:rPr>
        <w:t>应在电力用户、售电公司与电网企业签订的电费结算协议中予以明确</w:t>
      </w:r>
      <w:r>
        <w:rPr>
          <w:rFonts w:hint="eastAsia" w:ascii="Times New Roman" w:hAnsi="Times New Roman" w:eastAsia="仿宋_GB2312" w:cs="Times New Roman"/>
          <w:bCs/>
          <w:sz w:val="32"/>
          <w:szCs w:val="32"/>
          <w:highlight w:val="none"/>
          <w:lang w:eastAsia="zh-CN"/>
        </w:rPr>
        <w:t>。</w:t>
      </w:r>
      <w:r>
        <w:rPr>
          <w:rFonts w:hint="eastAsia" w:ascii="Times New Roman" w:hAnsi="Times New Roman" w:eastAsia="仿宋_GB2312" w:cs="Times New Roman"/>
          <w:bCs/>
          <w:sz w:val="32"/>
          <w:szCs w:val="32"/>
        </w:rPr>
        <w:t>除政策规定外，结算环节不</w:t>
      </w:r>
      <w:r>
        <w:rPr>
          <w:rFonts w:hint="eastAsia" w:ascii="Times New Roman" w:hAnsi="Times New Roman" w:eastAsia="仿宋_GB2312" w:cs="Times New Roman"/>
          <w:bCs/>
          <w:sz w:val="32"/>
          <w:szCs w:val="32"/>
          <w:lang w:eastAsia="zh-CN"/>
        </w:rPr>
        <w:t>得</w:t>
      </w:r>
      <w:r>
        <w:rPr>
          <w:rFonts w:hint="eastAsia" w:ascii="Times New Roman" w:hAnsi="Times New Roman" w:eastAsia="仿宋_GB2312" w:cs="Times New Roman"/>
          <w:bCs/>
          <w:sz w:val="32"/>
          <w:szCs w:val="32"/>
        </w:rPr>
        <w:t>改变市场出清、交易合约量价等关键要素。</w:t>
      </w:r>
    </w:p>
    <w:p w14:paraId="07DB05E2">
      <w:pPr>
        <w:pStyle w:val="18"/>
        <w:numPr>
          <w:ilvl w:val="0"/>
          <w:numId w:val="1"/>
        </w:numPr>
        <w:snapToGrid w:val="0"/>
        <w:spacing w:line="588" w:lineRule="exact"/>
        <w:ind w:left="0" w:firstLine="640"/>
        <w:jc w:val="both"/>
        <w:rPr>
          <w:rFonts w:ascii="Times New Roman" w:hAnsi="Times New Roman" w:eastAsia="仿宋_GB2312" w:cs="Times New Roman"/>
          <w:bCs/>
          <w:sz w:val="32"/>
          <w:szCs w:val="32"/>
          <w:highlight w:val="none"/>
        </w:rPr>
      </w:pPr>
      <w:r>
        <w:rPr>
          <w:rFonts w:hint="eastAsia" w:ascii="Times New Roman" w:hAnsi="Times New Roman" w:eastAsia="仿宋_GB2312" w:cs="Times New Roman"/>
          <w:bCs/>
          <w:sz w:val="32"/>
          <w:szCs w:val="32"/>
          <w:highlight w:val="none"/>
        </w:rPr>
        <w:t>结算原则上以自然月为周期</w:t>
      </w:r>
      <w:r>
        <w:rPr>
          <w:rFonts w:hint="eastAsia" w:ascii="Times New Roman" w:hAnsi="Times New Roman" w:eastAsia="仿宋_GB2312" w:cs="Times New Roman"/>
          <w:bCs/>
          <w:sz w:val="32"/>
          <w:szCs w:val="32"/>
          <w:highlight w:val="none"/>
          <w:lang w:val="en-US" w:eastAsia="zh-CN"/>
        </w:rPr>
        <w:t>开展</w:t>
      </w:r>
      <w:r>
        <w:rPr>
          <w:rFonts w:hint="eastAsia" w:ascii="Times New Roman" w:hAnsi="Times New Roman" w:eastAsia="仿宋_GB2312" w:cs="Times New Roman"/>
          <w:bCs/>
          <w:sz w:val="32"/>
          <w:szCs w:val="32"/>
          <w:highlight w:val="none"/>
          <w:lang w:eastAsia="zh-CN"/>
        </w:rPr>
        <w:t>。已发布的结算结果（含日清分结果）如有变化，应向相关市场经营主体披露变动原因和变动情况。</w:t>
      </w:r>
      <w:r>
        <w:rPr>
          <w:rFonts w:hint="eastAsia" w:ascii="Times New Roman" w:hAnsi="Times New Roman" w:eastAsia="仿宋_GB2312" w:cs="Times New Roman"/>
          <w:bCs/>
          <w:sz w:val="32"/>
          <w:szCs w:val="32"/>
          <w:highlight w:val="none"/>
        </w:rPr>
        <w:t>其中：</w:t>
      </w:r>
    </w:p>
    <w:p w14:paraId="058CA858">
      <w:pPr>
        <w:pStyle w:val="18"/>
        <w:snapToGrid w:val="0"/>
        <w:spacing w:line="588" w:lineRule="exact"/>
        <w:ind w:firstLine="640" w:firstLineChars="200"/>
        <w:jc w:val="both"/>
        <w:rPr>
          <w:rFonts w:ascii="Times New Roman" w:hAnsi="Times New Roman" w:eastAsia="仿宋_GB2312" w:cs="Times New Roman"/>
          <w:bCs/>
          <w:sz w:val="32"/>
          <w:szCs w:val="32"/>
          <w:highlight w:val="none"/>
        </w:rPr>
      </w:pPr>
      <w:r>
        <w:rPr>
          <w:rFonts w:hint="eastAsia" w:ascii="Times New Roman" w:hAnsi="Times New Roman" w:eastAsia="仿宋_GB2312" w:cs="Times New Roman"/>
          <w:bCs/>
          <w:sz w:val="32"/>
          <w:szCs w:val="32"/>
          <w:highlight w:val="none"/>
        </w:rPr>
        <w:t>（一）电力现货</w:t>
      </w:r>
      <w:r>
        <w:rPr>
          <w:rFonts w:hint="eastAsia" w:ascii="Times New Roman" w:hAnsi="Times New Roman" w:eastAsia="仿宋_GB2312" w:cs="Times New Roman"/>
          <w:bCs/>
          <w:sz w:val="32"/>
          <w:szCs w:val="32"/>
          <w:highlight w:val="none"/>
          <w:lang w:val="en-US" w:eastAsia="zh-CN"/>
        </w:rPr>
        <w:t>市场未连续运行</w:t>
      </w:r>
      <w:r>
        <w:rPr>
          <w:rFonts w:hint="eastAsia" w:ascii="Times New Roman" w:hAnsi="Times New Roman" w:eastAsia="仿宋_GB2312" w:cs="Times New Roman"/>
          <w:bCs/>
          <w:sz w:val="32"/>
          <w:szCs w:val="32"/>
          <w:highlight w:val="none"/>
        </w:rPr>
        <w:t>时，</w:t>
      </w:r>
      <w:r>
        <w:rPr>
          <w:rFonts w:hint="eastAsia" w:ascii="Times New Roman" w:hAnsi="Times New Roman" w:eastAsia="仿宋_GB2312" w:cs="Times New Roman"/>
          <w:bCs/>
          <w:sz w:val="32"/>
          <w:szCs w:val="32"/>
          <w:highlight w:val="none"/>
          <w:lang w:val="en-US" w:eastAsia="zh-CN"/>
        </w:rPr>
        <w:t>开展</w:t>
      </w:r>
      <w:r>
        <w:rPr>
          <w:rFonts w:hint="eastAsia" w:ascii="Times New Roman" w:hAnsi="Times New Roman" w:eastAsia="仿宋_GB2312" w:cs="Times New Roman"/>
          <w:bCs/>
          <w:sz w:val="32"/>
          <w:szCs w:val="32"/>
          <w:highlight w:val="none"/>
        </w:rPr>
        <w:t>年度、月度交易</w:t>
      </w:r>
      <w:r>
        <w:rPr>
          <w:rFonts w:hint="eastAsia" w:ascii="Times New Roman" w:hAnsi="Times New Roman" w:eastAsia="仿宋_GB2312" w:cs="Times New Roman"/>
          <w:bCs/>
          <w:sz w:val="32"/>
          <w:szCs w:val="32"/>
          <w:highlight w:val="none"/>
          <w:lang w:val="en-US" w:eastAsia="zh-CN"/>
        </w:rPr>
        <w:t>的</w:t>
      </w:r>
      <w:r>
        <w:rPr>
          <w:rFonts w:hint="eastAsia" w:ascii="Times New Roman" w:hAnsi="Times New Roman" w:eastAsia="仿宋_GB2312" w:cs="Times New Roman"/>
          <w:bCs/>
          <w:sz w:val="32"/>
          <w:szCs w:val="32"/>
          <w:highlight w:val="none"/>
        </w:rPr>
        <w:t>地区，按自然月</w:t>
      </w:r>
      <w:r>
        <w:rPr>
          <w:rFonts w:hint="eastAsia" w:ascii="Times New Roman" w:hAnsi="Times New Roman" w:eastAsia="仿宋_GB2312" w:cs="Times New Roman"/>
          <w:bCs/>
          <w:sz w:val="32"/>
          <w:szCs w:val="32"/>
          <w:highlight w:val="none"/>
          <w:lang w:val="en-US" w:eastAsia="zh-CN"/>
        </w:rPr>
        <w:t>为周期进行</w:t>
      </w:r>
      <w:r>
        <w:rPr>
          <w:rFonts w:hint="eastAsia" w:ascii="Times New Roman" w:hAnsi="Times New Roman" w:eastAsia="仿宋_GB2312" w:cs="Times New Roman"/>
          <w:bCs/>
          <w:sz w:val="32"/>
          <w:szCs w:val="32"/>
          <w:highlight w:val="none"/>
        </w:rPr>
        <w:t>结算；开展多日交易</w:t>
      </w:r>
      <w:r>
        <w:rPr>
          <w:rFonts w:hint="eastAsia" w:ascii="Times New Roman" w:hAnsi="Times New Roman" w:eastAsia="仿宋_GB2312" w:cs="Times New Roman"/>
          <w:bCs/>
          <w:sz w:val="32"/>
          <w:szCs w:val="32"/>
          <w:highlight w:val="none"/>
          <w:lang w:val="en-US" w:eastAsia="zh-CN"/>
        </w:rPr>
        <w:t>的</w:t>
      </w:r>
      <w:r>
        <w:rPr>
          <w:rFonts w:hint="eastAsia" w:ascii="Times New Roman" w:hAnsi="Times New Roman" w:eastAsia="仿宋_GB2312" w:cs="Times New Roman"/>
          <w:bCs/>
          <w:sz w:val="32"/>
          <w:szCs w:val="32"/>
          <w:highlight w:val="none"/>
        </w:rPr>
        <w:t>地区，按</w:t>
      </w:r>
      <w:r>
        <w:rPr>
          <w:rFonts w:hint="eastAsia" w:ascii="Times New Roman" w:hAnsi="Times New Roman" w:eastAsia="仿宋_GB2312" w:cs="Times New Roman"/>
          <w:bCs/>
          <w:sz w:val="32"/>
          <w:szCs w:val="32"/>
          <w:highlight w:val="none"/>
          <w:lang w:eastAsia="zh-CN"/>
        </w:rPr>
        <w:t>最小交易周期</w:t>
      </w:r>
      <w:r>
        <w:rPr>
          <w:rFonts w:hint="eastAsia" w:ascii="Times New Roman" w:hAnsi="Times New Roman" w:eastAsia="仿宋_GB2312" w:cs="Times New Roman"/>
          <w:bCs/>
          <w:sz w:val="32"/>
          <w:szCs w:val="32"/>
          <w:highlight w:val="none"/>
          <w:lang w:val="en-US" w:eastAsia="zh-CN"/>
        </w:rPr>
        <w:t>进行量价</w:t>
      </w:r>
      <w:r>
        <w:rPr>
          <w:rFonts w:hint="eastAsia" w:ascii="Times New Roman" w:hAnsi="Times New Roman" w:eastAsia="仿宋_GB2312" w:cs="Times New Roman"/>
          <w:bCs/>
          <w:sz w:val="32"/>
          <w:szCs w:val="32"/>
          <w:highlight w:val="none"/>
        </w:rPr>
        <w:t>清分，</w:t>
      </w:r>
      <w:r>
        <w:rPr>
          <w:rFonts w:hint="eastAsia" w:ascii="Times New Roman" w:hAnsi="Times New Roman" w:eastAsia="仿宋_GB2312" w:cs="Times New Roman"/>
          <w:bCs/>
          <w:sz w:val="32"/>
          <w:szCs w:val="32"/>
          <w:highlight w:val="none"/>
          <w:lang w:val="en-US" w:eastAsia="zh-CN"/>
        </w:rPr>
        <w:t>按</w:t>
      </w:r>
      <w:r>
        <w:rPr>
          <w:rFonts w:hint="eastAsia" w:ascii="Times New Roman" w:hAnsi="Times New Roman" w:eastAsia="仿宋_GB2312" w:cs="Times New Roman"/>
          <w:bCs/>
          <w:sz w:val="32"/>
          <w:szCs w:val="32"/>
          <w:highlight w:val="none"/>
        </w:rPr>
        <w:t>自然月为周期</w:t>
      </w:r>
      <w:r>
        <w:rPr>
          <w:rFonts w:hint="eastAsia" w:ascii="Times New Roman" w:hAnsi="Times New Roman" w:eastAsia="仿宋_GB2312" w:cs="Times New Roman"/>
          <w:bCs/>
          <w:sz w:val="32"/>
          <w:szCs w:val="32"/>
          <w:highlight w:val="none"/>
          <w:lang w:val="en-US" w:eastAsia="zh-CN"/>
        </w:rPr>
        <w:t>进行结算</w:t>
      </w:r>
      <w:r>
        <w:rPr>
          <w:rFonts w:hint="eastAsia" w:ascii="Times New Roman" w:hAnsi="Times New Roman" w:eastAsia="仿宋_GB2312" w:cs="Times New Roman"/>
          <w:bCs/>
          <w:sz w:val="32"/>
          <w:szCs w:val="32"/>
          <w:highlight w:val="none"/>
        </w:rPr>
        <w:t>。</w:t>
      </w:r>
    </w:p>
    <w:p w14:paraId="5A6B98F0">
      <w:pPr>
        <w:pStyle w:val="18"/>
        <w:snapToGrid w:val="0"/>
        <w:spacing w:line="588" w:lineRule="exact"/>
        <w:ind w:firstLine="640" w:firstLineChars="200"/>
        <w:jc w:val="both"/>
        <w:rPr>
          <w:rFonts w:ascii="Times New Roman" w:hAnsi="Times New Roman" w:eastAsia="仿宋_GB2312" w:cs="Times New Roman"/>
          <w:bCs/>
          <w:sz w:val="32"/>
          <w:szCs w:val="32"/>
          <w:highlight w:val="none"/>
        </w:rPr>
      </w:pPr>
      <w:r>
        <w:rPr>
          <w:rFonts w:hint="eastAsia" w:ascii="Times New Roman" w:hAnsi="Times New Roman" w:eastAsia="仿宋_GB2312" w:cs="Times New Roman"/>
          <w:bCs/>
          <w:sz w:val="32"/>
          <w:szCs w:val="32"/>
          <w:highlight w:val="none"/>
        </w:rPr>
        <w:t>（二）电力现货市场</w:t>
      </w:r>
      <w:r>
        <w:rPr>
          <w:rFonts w:hint="eastAsia" w:ascii="Times New Roman" w:hAnsi="Times New Roman" w:eastAsia="仿宋_GB2312" w:cs="Times New Roman"/>
          <w:bCs/>
          <w:sz w:val="32"/>
          <w:szCs w:val="32"/>
          <w:highlight w:val="none"/>
          <w:lang w:val="en-US" w:eastAsia="zh-CN"/>
        </w:rPr>
        <w:t>连续运行</w:t>
      </w:r>
      <w:r>
        <w:rPr>
          <w:rFonts w:hint="eastAsia" w:ascii="Times New Roman" w:hAnsi="Times New Roman" w:eastAsia="仿宋_GB2312" w:cs="Times New Roman"/>
          <w:bCs/>
          <w:sz w:val="32"/>
          <w:szCs w:val="32"/>
          <w:highlight w:val="none"/>
        </w:rPr>
        <w:t>时，原则上采用“日清月结”的结算模式，</w:t>
      </w:r>
      <w:r>
        <w:rPr>
          <w:rFonts w:hint="eastAsia" w:ascii="Times New Roman" w:hAnsi="Times New Roman" w:eastAsia="仿宋_GB2312" w:cs="Times New Roman"/>
          <w:bCs/>
          <w:sz w:val="32"/>
          <w:szCs w:val="32"/>
          <w:highlight w:val="none"/>
          <w:lang w:eastAsia="zh-CN"/>
        </w:rPr>
        <w:t>按日</w:t>
      </w:r>
      <w:r>
        <w:rPr>
          <w:rFonts w:hint="eastAsia" w:ascii="Times New Roman" w:hAnsi="Times New Roman" w:eastAsia="仿宋_GB2312" w:cs="Times New Roman"/>
          <w:bCs/>
          <w:sz w:val="32"/>
          <w:szCs w:val="32"/>
          <w:highlight w:val="none"/>
        </w:rPr>
        <w:t>对已执行的成交结果进行</w:t>
      </w:r>
      <w:r>
        <w:rPr>
          <w:rFonts w:hint="eastAsia" w:ascii="Times New Roman" w:hAnsi="Times New Roman" w:eastAsia="仿宋_GB2312" w:cs="Times New Roman"/>
          <w:bCs/>
          <w:sz w:val="32"/>
          <w:szCs w:val="32"/>
          <w:highlight w:val="none"/>
          <w:lang w:eastAsia="zh-CN"/>
        </w:rPr>
        <w:t>量价</w:t>
      </w:r>
      <w:r>
        <w:rPr>
          <w:rFonts w:hint="eastAsia" w:ascii="Times New Roman" w:hAnsi="Times New Roman" w:eastAsia="仿宋_GB2312" w:cs="Times New Roman"/>
          <w:bCs/>
          <w:sz w:val="32"/>
          <w:szCs w:val="32"/>
          <w:highlight w:val="none"/>
        </w:rPr>
        <w:t>清分，月度结算结果应是日清分结果的累计值</w:t>
      </w:r>
      <w:r>
        <w:rPr>
          <w:rFonts w:hint="eastAsia" w:ascii="Times New Roman" w:hAnsi="Times New Roman" w:eastAsia="仿宋_GB2312" w:cs="Times New Roman"/>
          <w:bCs/>
          <w:sz w:val="32"/>
          <w:szCs w:val="32"/>
          <w:highlight w:val="none"/>
          <w:lang w:eastAsia="zh-CN"/>
        </w:rPr>
        <w:t>，</w:t>
      </w:r>
      <w:r>
        <w:rPr>
          <w:rFonts w:hint="eastAsia" w:ascii="Times New Roman" w:hAnsi="Times New Roman" w:eastAsia="仿宋_GB2312" w:cs="Times New Roman"/>
          <w:bCs/>
          <w:sz w:val="32"/>
          <w:szCs w:val="32"/>
          <w:highlight w:val="none"/>
          <w:lang w:val="en-US" w:eastAsia="zh-CN"/>
        </w:rPr>
        <w:t>按</w:t>
      </w:r>
      <w:r>
        <w:rPr>
          <w:rFonts w:hint="eastAsia" w:ascii="Times New Roman" w:hAnsi="Times New Roman" w:eastAsia="仿宋_GB2312" w:cs="Times New Roman"/>
          <w:bCs/>
          <w:sz w:val="32"/>
          <w:szCs w:val="32"/>
          <w:highlight w:val="none"/>
        </w:rPr>
        <w:t>自然月为周期</w:t>
      </w:r>
      <w:r>
        <w:rPr>
          <w:rFonts w:hint="eastAsia" w:ascii="Times New Roman" w:hAnsi="Times New Roman" w:eastAsia="仿宋_GB2312" w:cs="Times New Roman"/>
          <w:bCs/>
          <w:sz w:val="32"/>
          <w:szCs w:val="32"/>
          <w:highlight w:val="none"/>
          <w:lang w:val="en-US" w:eastAsia="zh-CN"/>
        </w:rPr>
        <w:t>进行结算</w:t>
      </w:r>
      <w:r>
        <w:rPr>
          <w:rFonts w:hint="eastAsia" w:ascii="Times New Roman" w:hAnsi="Times New Roman" w:eastAsia="仿宋_GB2312" w:cs="Times New Roman"/>
          <w:bCs/>
          <w:sz w:val="32"/>
          <w:szCs w:val="32"/>
          <w:highlight w:val="none"/>
        </w:rPr>
        <w:t>。</w:t>
      </w:r>
    </w:p>
    <w:p w14:paraId="524E13E7">
      <w:pPr>
        <w:pStyle w:val="18"/>
        <w:snapToGrid w:val="0"/>
        <w:spacing w:line="588" w:lineRule="exact"/>
        <w:ind w:firstLine="640" w:firstLineChars="200"/>
        <w:jc w:val="both"/>
        <w:rPr>
          <w:rFonts w:ascii="Times New Roman" w:hAnsi="Times New Roman" w:eastAsia="仿宋_GB2312" w:cs="Times New Roman"/>
          <w:bCs/>
          <w:sz w:val="32"/>
          <w:szCs w:val="32"/>
          <w:highlight w:val="none"/>
        </w:rPr>
      </w:pPr>
      <w:r>
        <w:rPr>
          <w:rFonts w:hint="eastAsia" w:ascii="Times New Roman" w:hAnsi="Times New Roman" w:eastAsia="仿宋_GB2312" w:cs="Times New Roman"/>
          <w:bCs/>
          <w:sz w:val="32"/>
          <w:szCs w:val="32"/>
          <w:highlight w:val="none"/>
        </w:rPr>
        <w:t>（三）</w:t>
      </w:r>
      <w:r>
        <w:rPr>
          <w:rFonts w:hint="eastAsia" w:ascii="Times New Roman" w:hAnsi="Times New Roman" w:eastAsia="仿宋_GB2312" w:cs="Times New Roman"/>
          <w:bCs/>
          <w:sz w:val="32"/>
          <w:szCs w:val="32"/>
          <w:highlight w:val="none"/>
          <w:lang w:val="en-US" w:eastAsia="zh-CN"/>
        </w:rPr>
        <w:t>电力辅助服务、</w:t>
      </w:r>
      <w:r>
        <w:rPr>
          <w:rFonts w:hint="eastAsia" w:ascii="Times New Roman" w:hAnsi="Times New Roman" w:eastAsia="仿宋_GB2312" w:cs="Times New Roman"/>
          <w:bCs/>
          <w:sz w:val="32"/>
          <w:szCs w:val="32"/>
          <w:highlight w:val="none"/>
        </w:rPr>
        <w:t>零售</w:t>
      </w:r>
      <w:r>
        <w:rPr>
          <w:rFonts w:hint="eastAsia" w:ascii="Times New Roman" w:hAnsi="Times New Roman" w:eastAsia="仿宋_GB2312" w:cs="Times New Roman"/>
          <w:bCs/>
          <w:sz w:val="32"/>
          <w:szCs w:val="32"/>
          <w:highlight w:val="none"/>
          <w:lang w:val="en-US" w:eastAsia="zh-CN"/>
        </w:rPr>
        <w:t>等</w:t>
      </w:r>
      <w:r>
        <w:rPr>
          <w:rFonts w:hint="eastAsia" w:ascii="Times New Roman" w:hAnsi="Times New Roman" w:eastAsia="仿宋_GB2312" w:cs="Times New Roman"/>
          <w:bCs/>
          <w:sz w:val="32"/>
          <w:szCs w:val="32"/>
          <w:highlight w:val="none"/>
        </w:rPr>
        <w:t>市场依据</w:t>
      </w:r>
      <w:r>
        <w:rPr>
          <w:rFonts w:hint="eastAsia" w:ascii="Times New Roman" w:hAnsi="Times New Roman" w:eastAsia="仿宋_GB2312" w:cs="Times New Roman"/>
          <w:bCs/>
          <w:sz w:val="32"/>
          <w:szCs w:val="32"/>
          <w:highlight w:val="none"/>
          <w:lang w:val="en-US" w:eastAsia="zh-CN"/>
        </w:rPr>
        <w:t>有关</w:t>
      </w:r>
      <w:r>
        <w:rPr>
          <w:rFonts w:hint="eastAsia" w:ascii="Times New Roman" w:hAnsi="Times New Roman" w:eastAsia="仿宋_GB2312" w:cs="Times New Roman"/>
          <w:bCs/>
          <w:sz w:val="32"/>
          <w:szCs w:val="32"/>
          <w:highlight w:val="none"/>
        </w:rPr>
        <w:t>规则明确的周期开展清分，</w:t>
      </w:r>
      <w:r>
        <w:rPr>
          <w:rFonts w:hint="eastAsia" w:ascii="Times New Roman" w:hAnsi="Times New Roman" w:eastAsia="仿宋_GB2312" w:cs="Times New Roman"/>
          <w:bCs/>
          <w:sz w:val="32"/>
          <w:szCs w:val="32"/>
          <w:highlight w:val="none"/>
          <w:lang w:val="en-US" w:eastAsia="zh-CN"/>
        </w:rPr>
        <w:t>按</w:t>
      </w:r>
      <w:r>
        <w:rPr>
          <w:rFonts w:hint="eastAsia" w:ascii="Times New Roman" w:hAnsi="Times New Roman" w:eastAsia="仿宋_GB2312" w:cs="Times New Roman"/>
          <w:bCs/>
          <w:sz w:val="32"/>
          <w:szCs w:val="32"/>
          <w:highlight w:val="none"/>
        </w:rPr>
        <w:t>自然月为周期</w:t>
      </w:r>
      <w:r>
        <w:rPr>
          <w:rFonts w:hint="eastAsia" w:ascii="Times New Roman" w:hAnsi="Times New Roman" w:eastAsia="仿宋_GB2312" w:cs="Times New Roman"/>
          <w:bCs/>
          <w:sz w:val="32"/>
          <w:szCs w:val="32"/>
          <w:highlight w:val="none"/>
          <w:lang w:val="en-US" w:eastAsia="zh-CN"/>
        </w:rPr>
        <w:t>进行结算</w:t>
      </w:r>
      <w:r>
        <w:rPr>
          <w:rFonts w:hint="eastAsia" w:ascii="Times New Roman" w:hAnsi="Times New Roman" w:eastAsia="仿宋_GB2312" w:cs="Times New Roman"/>
          <w:bCs/>
          <w:sz w:val="32"/>
          <w:szCs w:val="32"/>
          <w:highlight w:val="none"/>
        </w:rPr>
        <w:t>。</w:t>
      </w:r>
    </w:p>
    <w:p w14:paraId="3F3D75EF">
      <w:pPr>
        <w:pStyle w:val="18"/>
        <w:numPr>
          <w:ilvl w:val="0"/>
          <w:numId w:val="1"/>
        </w:numPr>
        <w:snapToGrid w:val="0"/>
        <w:spacing w:line="588" w:lineRule="exact"/>
        <w:ind w:left="0" w:firstLine="640"/>
        <w:jc w:val="both"/>
        <w:rPr>
          <w:rFonts w:ascii="Times New Roman" w:hAnsi="Times New Roman" w:eastAsia="仿宋_GB2312" w:cs="Times New Roman"/>
          <w:bCs/>
          <w:sz w:val="32"/>
          <w:szCs w:val="32"/>
          <w:highlight w:val="none"/>
        </w:rPr>
      </w:pPr>
      <w:r>
        <w:rPr>
          <w:rFonts w:hint="eastAsia" w:ascii="Times New Roman" w:hAnsi="Times New Roman" w:eastAsia="仿宋_GB2312" w:cs="Times New Roman"/>
          <w:bCs/>
          <w:sz w:val="32"/>
          <w:szCs w:val="32"/>
          <w:highlight w:val="none"/>
        </w:rPr>
        <w:t>结算时段是指</w:t>
      </w:r>
      <w:r>
        <w:rPr>
          <w:rFonts w:hint="eastAsia" w:ascii="Times New Roman" w:hAnsi="Times New Roman" w:eastAsia="仿宋_GB2312" w:cs="Times New Roman"/>
          <w:bCs/>
          <w:sz w:val="32"/>
          <w:szCs w:val="32"/>
          <w:highlight w:val="none"/>
          <w:lang w:val="en-US" w:eastAsia="zh-CN"/>
        </w:rPr>
        <w:t>形成</w:t>
      </w:r>
      <w:r>
        <w:rPr>
          <w:rFonts w:hint="eastAsia" w:ascii="Times New Roman" w:hAnsi="Times New Roman" w:eastAsia="仿宋_GB2312" w:cs="Times New Roman"/>
          <w:bCs/>
          <w:sz w:val="32"/>
          <w:szCs w:val="32"/>
          <w:highlight w:val="none"/>
        </w:rPr>
        <w:t>结算</w:t>
      </w:r>
      <w:r>
        <w:rPr>
          <w:rFonts w:hint="eastAsia" w:ascii="Times New Roman" w:hAnsi="Times New Roman" w:eastAsia="仿宋_GB2312" w:cs="Times New Roman"/>
          <w:bCs/>
          <w:sz w:val="32"/>
          <w:szCs w:val="32"/>
          <w:highlight w:val="none"/>
          <w:lang w:val="en-US" w:eastAsia="zh-CN"/>
        </w:rPr>
        <w:t>依据</w:t>
      </w:r>
      <w:r>
        <w:rPr>
          <w:rFonts w:hint="eastAsia" w:ascii="Times New Roman" w:hAnsi="Times New Roman" w:eastAsia="仿宋_GB2312" w:cs="Times New Roman"/>
          <w:bCs/>
          <w:sz w:val="32"/>
          <w:szCs w:val="32"/>
          <w:highlight w:val="none"/>
        </w:rPr>
        <w:t>的最小时段，每个结算时段的</w:t>
      </w:r>
      <w:r>
        <w:rPr>
          <w:rFonts w:hint="eastAsia" w:ascii="Times New Roman" w:hAnsi="Times New Roman" w:eastAsia="仿宋_GB2312" w:cs="Times New Roman"/>
          <w:bCs/>
          <w:sz w:val="32"/>
          <w:szCs w:val="32"/>
          <w:highlight w:val="none"/>
          <w:lang w:val="en-US" w:eastAsia="zh-CN"/>
        </w:rPr>
        <w:t>费用</w:t>
      </w:r>
      <w:r>
        <w:rPr>
          <w:rFonts w:hint="eastAsia" w:ascii="Times New Roman" w:hAnsi="Times New Roman" w:eastAsia="仿宋_GB2312" w:cs="Times New Roman"/>
          <w:bCs/>
          <w:sz w:val="32"/>
          <w:szCs w:val="32"/>
          <w:highlight w:val="none"/>
        </w:rPr>
        <w:t>依据相应时段的计量数据、交易合同、出清结果</w:t>
      </w:r>
      <w:r>
        <w:rPr>
          <w:rFonts w:hint="eastAsia" w:ascii="Times New Roman" w:hAnsi="Times New Roman" w:eastAsia="仿宋_GB2312" w:cs="Times New Roman"/>
          <w:bCs/>
          <w:sz w:val="32"/>
          <w:szCs w:val="32"/>
          <w:highlight w:val="none"/>
          <w:lang w:eastAsia="zh-CN"/>
        </w:rPr>
        <w:t>、执行结果</w:t>
      </w:r>
      <w:r>
        <w:rPr>
          <w:rFonts w:hint="eastAsia" w:ascii="Times New Roman" w:hAnsi="Times New Roman" w:eastAsia="仿宋_GB2312" w:cs="Times New Roman"/>
          <w:bCs/>
          <w:sz w:val="32"/>
          <w:szCs w:val="32"/>
          <w:highlight w:val="none"/>
        </w:rPr>
        <w:t>和市场规则计算确定。</w:t>
      </w:r>
    </w:p>
    <w:p w14:paraId="4C50872B">
      <w:pPr>
        <w:pStyle w:val="18"/>
        <w:numPr>
          <w:ilvl w:val="0"/>
          <w:numId w:val="1"/>
        </w:numPr>
        <w:snapToGrid w:val="0"/>
        <w:spacing w:line="588" w:lineRule="exact"/>
        <w:ind w:left="0" w:firstLine="640"/>
        <w:jc w:val="both"/>
        <w:rPr>
          <w:rFonts w:ascii="Times New Roman" w:hAnsi="Times New Roman"/>
          <w:highlight w:val="none"/>
        </w:rPr>
      </w:pPr>
      <w:r>
        <w:rPr>
          <w:rFonts w:hint="eastAsia" w:ascii="Times New Roman" w:hAnsi="Times New Roman" w:eastAsia="仿宋_GB2312" w:cs="Times New Roman"/>
          <w:bCs/>
          <w:sz w:val="32"/>
          <w:szCs w:val="32"/>
          <w:highlight w:val="none"/>
          <w:lang w:val="en-US" w:eastAsia="zh-CN"/>
        </w:rPr>
        <w:t>结算科目式样</w:t>
      </w:r>
      <w:r>
        <w:rPr>
          <w:rFonts w:hint="eastAsia" w:ascii="Times New Roman" w:hAnsi="Times New Roman" w:eastAsia="仿宋_GB2312" w:cs="Times New Roman"/>
          <w:bCs/>
          <w:sz w:val="32"/>
          <w:szCs w:val="32"/>
          <w:highlight w:val="none"/>
          <w:lang w:val="en-US" w:eastAsia="zh-CN"/>
        </w:rPr>
        <w:t>由价格主管部门确定。</w:t>
      </w:r>
      <w:r>
        <w:rPr>
          <w:rFonts w:hint="eastAsia" w:ascii="Times New Roman" w:hAnsi="Times New Roman" w:eastAsia="仿宋_GB2312" w:cs="Times New Roman"/>
          <w:bCs/>
          <w:sz w:val="32"/>
          <w:szCs w:val="32"/>
          <w:highlight w:val="none"/>
        </w:rPr>
        <w:t>结算科目应覆盖所有市场分类及交易品种</w:t>
      </w:r>
      <w:r>
        <w:rPr>
          <w:rFonts w:hint="eastAsia" w:ascii="Times New Roman" w:hAnsi="Times New Roman" w:eastAsia="仿宋_GB2312" w:cs="Times New Roman"/>
          <w:bCs/>
          <w:sz w:val="32"/>
          <w:szCs w:val="32"/>
          <w:highlight w:val="none"/>
          <w:lang w:eastAsia="zh-CN"/>
        </w:rPr>
        <w:t>，</w:t>
      </w:r>
      <w:r>
        <w:rPr>
          <w:rFonts w:hint="eastAsia" w:ascii="Times New Roman" w:hAnsi="Times New Roman" w:eastAsia="仿宋_GB2312" w:cs="Times New Roman"/>
          <w:bCs/>
          <w:sz w:val="32"/>
          <w:szCs w:val="32"/>
          <w:highlight w:val="none"/>
          <w:lang w:val="en-US" w:eastAsia="zh-CN"/>
        </w:rPr>
        <w:t>各类结算科目应单独计算、单独列示</w:t>
      </w:r>
      <w:r>
        <w:rPr>
          <w:rFonts w:hint="eastAsia" w:ascii="Times New Roman" w:hAnsi="Times New Roman" w:eastAsia="仿宋_GB2312" w:cs="Times New Roman"/>
          <w:bCs/>
          <w:sz w:val="32"/>
          <w:szCs w:val="32"/>
          <w:highlight w:val="none"/>
          <w:lang w:eastAsia="zh-CN"/>
        </w:rPr>
        <w:t>。</w:t>
      </w:r>
    </w:p>
    <w:p w14:paraId="62511DDC">
      <w:pPr>
        <w:pStyle w:val="18"/>
        <w:numPr>
          <w:ilvl w:val="0"/>
          <w:numId w:val="1"/>
        </w:numPr>
        <w:snapToGrid w:val="0"/>
        <w:spacing w:line="588" w:lineRule="exact"/>
        <w:ind w:left="0" w:firstLine="640"/>
        <w:jc w:val="both"/>
        <w:rPr>
          <w:rFonts w:ascii="Times New Roman" w:hAnsi="Times New Roman" w:eastAsia="仿宋_GB2312" w:cs="Times New Roman"/>
          <w:bCs/>
          <w:sz w:val="32"/>
          <w:szCs w:val="32"/>
          <w:highlight w:val="none"/>
        </w:rPr>
      </w:pPr>
      <w:r>
        <w:rPr>
          <w:rFonts w:hint="eastAsia" w:ascii="Times New Roman" w:hAnsi="Times New Roman" w:eastAsia="仿宋_GB2312" w:cs="Times New Roman"/>
          <w:bCs/>
          <w:sz w:val="32"/>
          <w:szCs w:val="32"/>
          <w:highlight w:val="none"/>
        </w:rPr>
        <w:t>电力市场计量结算采用统一度量单位。</w:t>
      </w:r>
      <w:r>
        <w:rPr>
          <w:rFonts w:hint="eastAsia" w:ascii="Times New Roman" w:hAnsi="Times New Roman" w:eastAsia="仿宋_GB2312" w:cs="Times New Roman"/>
          <w:bCs/>
          <w:sz w:val="32"/>
          <w:szCs w:val="32"/>
          <w:highlight w:val="none"/>
          <w:lang w:eastAsia="zh-CN"/>
        </w:rPr>
        <w:t>原则上，</w:t>
      </w:r>
      <w:r>
        <w:rPr>
          <w:rFonts w:hint="eastAsia" w:ascii="Times New Roman" w:hAnsi="Times New Roman" w:eastAsia="仿宋_GB2312" w:cs="Times New Roman"/>
          <w:bCs/>
          <w:sz w:val="32"/>
          <w:szCs w:val="32"/>
          <w:highlight w:val="none"/>
        </w:rPr>
        <w:t>电量单位为兆瓦时</w:t>
      </w:r>
      <w:r>
        <w:rPr>
          <w:rFonts w:hint="eastAsia" w:ascii="Times New Roman" w:hAnsi="Times New Roman" w:eastAsia="仿宋_GB2312" w:cs="Times New Roman"/>
          <w:bCs/>
          <w:sz w:val="32"/>
          <w:szCs w:val="32"/>
          <w:highlight w:val="none"/>
          <w:lang w:eastAsia="zh-CN"/>
        </w:rPr>
        <w:t>、</w:t>
      </w:r>
      <w:r>
        <w:rPr>
          <w:rFonts w:hint="eastAsia" w:ascii="Times New Roman" w:hAnsi="Times New Roman" w:eastAsia="仿宋_GB2312" w:cs="Times New Roman"/>
          <w:bCs/>
          <w:sz w:val="32"/>
          <w:szCs w:val="32"/>
          <w:highlight w:val="none"/>
        </w:rPr>
        <w:t>保留三位小数</w:t>
      </w:r>
      <w:r>
        <w:rPr>
          <w:rFonts w:hint="eastAsia" w:ascii="Times New Roman" w:hAnsi="Times New Roman" w:eastAsia="仿宋_GB2312" w:cs="Times New Roman"/>
          <w:bCs/>
          <w:sz w:val="32"/>
          <w:szCs w:val="32"/>
          <w:highlight w:val="none"/>
          <w:lang w:eastAsia="zh-CN"/>
        </w:rPr>
        <w:t>或千瓦时、保留整数</w:t>
      </w:r>
      <w:r>
        <w:rPr>
          <w:rFonts w:hint="eastAsia" w:ascii="Times New Roman" w:hAnsi="Times New Roman" w:eastAsia="仿宋_GB2312" w:cs="Times New Roman"/>
          <w:bCs/>
          <w:sz w:val="32"/>
          <w:szCs w:val="32"/>
          <w:highlight w:val="none"/>
        </w:rPr>
        <w:t>；电费单位为元，保留两位小数</w:t>
      </w:r>
      <w:r>
        <w:rPr>
          <w:rFonts w:hint="eastAsia" w:ascii="Times New Roman" w:hAnsi="Times New Roman" w:eastAsia="仿宋_GB2312" w:cs="Times New Roman"/>
          <w:bCs/>
          <w:sz w:val="32"/>
          <w:szCs w:val="32"/>
          <w:highlight w:val="none"/>
          <w:lang w:eastAsia="zh-CN"/>
        </w:rPr>
        <w:t>；</w:t>
      </w:r>
      <w:r>
        <w:rPr>
          <w:rFonts w:hint="eastAsia" w:ascii="Times New Roman" w:hAnsi="Times New Roman" w:eastAsia="仿宋_GB2312" w:cs="Times New Roman"/>
          <w:bCs/>
          <w:sz w:val="32"/>
          <w:szCs w:val="32"/>
          <w:highlight w:val="none"/>
        </w:rPr>
        <w:t>电价单位为元/兆瓦时</w:t>
      </w:r>
      <w:r>
        <w:rPr>
          <w:rFonts w:hint="eastAsia" w:ascii="Times New Roman" w:hAnsi="Times New Roman" w:eastAsia="仿宋_GB2312" w:cs="Times New Roman"/>
          <w:bCs/>
          <w:sz w:val="32"/>
          <w:szCs w:val="32"/>
          <w:highlight w:val="none"/>
          <w:lang w:eastAsia="zh-CN"/>
        </w:rPr>
        <w:t>、</w:t>
      </w:r>
      <w:r>
        <w:rPr>
          <w:rFonts w:hint="eastAsia" w:ascii="Times New Roman" w:hAnsi="Times New Roman" w:eastAsia="仿宋_GB2312" w:cs="Times New Roman"/>
          <w:bCs/>
          <w:sz w:val="32"/>
          <w:szCs w:val="32"/>
          <w:highlight w:val="none"/>
        </w:rPr>
        <w:t>保留</w:t>
      </w:r>
      <w:r>
        <w:rPr>
          <w:rFonts w:hint="eastAsia" w:ascii="Times New Roman" w:hAnsi="Times New Roman" w:eastAsia="仿宋_GB2312" w:cs="Times New Roman"/>
          <w:bCs/>
          <w:sz w:val="32"/>
          <w:szCs w:val="32"/>
          <w:highlight w:val="none"/>
          <w:lang w:eastAsia="zh-CN"/>
        </w:rPr>
        <w:t>三</w:t>
      </w:r>
      <w:r>
        <w:rPr>
          <w:rFonts w:hint="eastAsia" w:ascii="Times New Roman" w:hAnsi="Times New Roman" w:eastAsia="仿宋_GB2312" w:cs="Times New Roman"/>
          <w:bCs/>
          <w:sz w:val="32"/>
          <w:szCs w:val="32"/>
          <w:highlight w:val="none"/>
        </w:rPr>
        <w:t>位小数</w:t>
      </w:r>
      <w:r>
        <w:rPr>
          <w:rFonts w:hint="eastAsia" w:ascii="Times New Roman" w:hAnsi="Times New Roman" w:eastAsia="仿宋_GB2312" w:cs="Times New Roman"/>
          <w:bCs/>
          <w:sz w:val="32"/>
          <w:szCs w:val="32"/>
          <w:highlight w:val="none"/>
          <w:lang w:eastAsia="zh-CN"/>
        </w:rPr>
        <w:t>或元</w:t>
      </w:r>
      <w:r>
        <w:rPr>
          <w:rFonts w:hint="eastAsia" w:ascii="Times New Roman" w:hAnsi="Times New Roman" w:eastAsia="仿宋_GB2312" w:cs="Times New Roman"/>
          <w:bCs/>
          <w:sz w:val="32"/>
          <w:szCs w:val="32"/>
          <w:highlight w:val="none"/>
          <w:lang w:val="en-US" w:eastAsia="zh-CN"/>
        </w:rPr>
        <w:t>/千瓦时、保留六位小数。如政策文件对精度有进一步要求的，按相关政策文件执行。</w:t>
      </w:r>
    </w:p>
    <w:p w14:paraId="44206A05">
      <w:pPr>
        <w:pStyle w:val="18"/>
        <w:numPr>
          <w:ilvl w:val="0"/>
          <w:numId w:val="1"/>
        </w:numPr>
        <w:snapToGrid w:val="0"/>
        <w:spacing w:line="588" w:lineRule="exact"/>
        <w:ind w:left="0" w:firstLine="640"/>
        <w:jc w:val="both"/>
        <w:rPr>
          <w:rFonts w:ascii="Times New Roman" w:hAnsi="Times New Roman" w:eastAsia="仿宋_GB2312" w:cs="仿宋_GB2312"/>
          <w:sz w:val="32"/>
          <w:szCs w:val="32"/>
          <w:highlight w:val="none"/>
        </w:rPr>
      </w:pPr>
      <w:r>
        <w:rPr>
          <w:rFonts w:ascii="Times New Roman" w:hAnsi="Times New Roman" w:eastAsia="仿宋_GB2312" w:cs="仿宋_GB2312"/>
          <w:sz w:val="32"/>
          <w:szCs w:val="32"/>
          <w:highlight w:val="none"/>
        </w:rPr>
        <w:t>电网企业、电力调度机构、电力交易机构</w:t>
      </w:r>
      <w:r>
        <w:rPr>
          <w:rFonts w:hint="eastAsia" w:ascii="Times New Roman" w:hAnsi="Times New Roman" w:eastAsia="仿宋_GB2312" w:cs="仿宋_GB2312"/>
          <w:sz w:val="32"/>
          <w:szCs w:val="32"/>
          <w:highlight w:val="none"/>
        </w:rPr>
        <w:t>应</w:t>
      </w:r>
      <w:r>
        <w:rPr>
          <w:rFonts w:hint="eastAsia" w:ascii="Times New Roman" w:hAnsi="Times New Roman" w:eastAsia="仿宋_GB2312" w:cs="仿宋_GB2312"/>
          <w:sz w:val="32"/>
          <w:szCs w:val="32"/>
          <w:highlight w:val="none"/>
          <w:lang w:eastAsia="zh-CN"/>
        </w:rPr>
        <w:t>按职责做好各自信息平台的建设、运维、管理，做好</w:t>
      </w:r>
      <w:r>
        <w:rPr>
          <w:rFonts w:hint="eastAsia" w:ascii="Times New Roman" w:hAnsi="Times New Roman" w:eastAsia="仿宋_GB2312" w:cs="仿宋_GB2312"/>
          <w:sz w:val="32"/>
          <w:szCs w:val="32"/>
          <w:highlight w:val="none"/>
        </w:rPr>
        <w:t>计量结算业务协同，建立数据接口标准，实现数据平台交互。</w:t>
      </w:r>
    </w:p>
    <w:p w14:paraId="1F27E40C">
      <w:pPr>
        <w:pStyle w:val="18"/>
        <w:numPr>
          <w:ilvl w:val="0"/>
          <w:numId w:val="1"/>
        </w:numPr>
        <w:snapToGrid w:val="0"/>
        <w:spacing w:line="588" w:lineRule="exact"/>
        <w:ind w:left="0" w:firstLine="640"/>
        <w:jc w:val="both"/>
        <w:rPr>
          <w:rFonts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电力市场</w:t>
      </w:r>
      <w:r>
        <w:rPr>
          <w:rFonts w:hint="eastAsia" w:ascii="Times New Roman" w:hAnsi="Times New Roman" w:eastAsia="仿宋_GB2312" w:cs="仿宋_GB2312"/>
          <w:sz w:val="32"/>
          <w:szCs w:val="32"/>
          <w:highlight w:val="none"/>
        </w:rPr>
        <w:t>结算不得设置不平衡资金池，每项结算项目均需独立记录、分类明确疏导并详细列支。</w:t>
      </w:r>
    </w:p>
    <w:p w14:paraId="1B6A1084">
      <w:pPr>
        <w:snapToGrid w:val="0"/>
        <w:spacing w:line="588" w:lineRule="exact"/>
        <w:jc w:val="center"/>
        <w:outlineLvl w:val="1"/>
        <w:rPr>
          <w:rFonts w:ascii="Times New Roman" w:hAnsi="Times New Roman" w:eastAsia="楷体_GB2312" w:cs="Times New Roman"/>
          <w:sz w:val="32"/>
          <w:szCs w:val="32"/>
          <w:highlight w:val="none"/>
        </w:rPr>
      </w:pPr>
      <w:bookmarkStart w:id="44" w:name="_Toc2471"/>
      <w:bookmarkStart w:id="45" w:name="_Toc25183"/>
      <w:bookmarkStart w:id="46" w:name="_Toc7478"/>
      <w:bookmarkStart w:id="47" w:name="_Toc7578"/>
      <w:bookmarkStart w:id="48" w:name="_Toc8240"/>
      <w:bookmarkStart w:id="49" w:name="_Toc27794"/>
      <w:bookmarkStart w:id="50" w:name="_Toc19861"/>
      <w:bookmarkStart w:id="51" w:name="_Toc24118"/>
      <w:bookmarkStart w:id="52" w:name="_Toc6336"/>
      <w:r>
        <w:rPr>
          <w:rFonts w:ascii="Times New Roman" w:hAnsi="Times New Roman" w:eastAsia="楷体_GB2312" w:cs="Times New Roman"/>
          <w:sz w:val="32"/>
          <w:szCs w:val="32"/>
          <w:highlight w:val="none"/>
          <w:lang w:val="zh-CN"/>
        </w:rPr>
        <w:t>第</w:t>
      </w:r>
      <w:r>
        <w:rPr>
          <w:rFonts w:hint="eastAsia" w:ascii="Times New Roman" w:hAnsi="Times New Roman" w:eastAsia="楷体_GB2312" w:cs="Times New Roman"/>
          <w:sz w:val="32"/>
          <w:szCs w:val="32"/>
          <w:highlight w:val="none"/>
          <w:lang w:val="en-US" w:eastAsia="zh-CN"/>
        </w:rPr>
        <w:t>二</w:t>
      </w:r>
      <w:r>
        <w:rPr>
          <w:rFonts w:ascii="Times New Roman" w:hAnsi="Times New Roman" w:eastAsia="楷体_GB2312" w:cs="Times New Roman"/>
          <w:sz w:val="32"/>
          <w:szCs w:val="32"/>
          <w:highlight w:val="none"/>
          <w:lang w:val="zh-CN"/>
        </w:rPr>
        <w:t xml:space="preserve">节 </w:t>
      </w:r>
      <w:r>
        <w:rPr>
          <w:rFonts w:hint="eastAsia" w:ascii="Times New Roman" w:hAnsi="Times New Roman" w:eastAsia="楷体_GB2312" w:cs="Times New Roman"/>
          <w:sz w:val="32"/>
          <w:szCs w:val="32"/>
          <w:highlight w:val="none"/>
          <w:lang w:val="en-US" w:eastAsia="zh-CN"/>
        </w:rPr>
        <w:t>权利与义务</w:t>
      </w:r>
      <w:bookmarkEnd w:id="44"/>
      <w:bookmarkEnd w:id="45"/>
      <w:bookmarkEnd w:id="46"/>
      <w:bookmarkEnd w:id="47"/>
      <w:bookmarkEnd w:id="48"/>
      <w:bookmarkEnd w:id="49"/>
      <w:bookmarkEnd w:id="50"/>
      <w:bookmarkEnd w:id="51"/>
      <w:bookmarkEnd w:id="52"/>
    </w:p>
    <w:p w14:paraId="2396CD2C">
      <w:pPr>
        <w:pStyle w:val="18"/>
        <w:numPr>
          <w:ilvl w:val="0"/>
          <w:numId w:val="1"/>
        </w:numPr>
        <w:snapToGrid w:val="0"/>
        <w:spacing w:line="588" w:lineRule="exact"/>
        <w:ind w:left="0" w:firstLine="640" w:firstLineChars="200"/>
        <w:jc w:val="both"/>
        <w:rPr>
          <w:rFonts w:ascii="Times New Roman" w:hAnsi="Times New Roman" w:eastAsia="仿宋_GB2312" w:cs="Times New Roman"/>
          <w:bCs/>
          <w:sz w:val="32"/>
          <w:szCs w:val="32"/>
          <w:highlight w:val="none"/>
        </w:rPr>
      </w:pPr>
      <w:r>
        <w:rPr>
          <w:rFonts w:hint="eastAsia" w:ascii="Times New Roman" w:hAnsi="Times New Roman" w:eastAsia="仿宋_GB2312" w:cs="Times New Roman"/>
          <w:bCs/>
          <w:sz w:val="32"/>
          <w:szCs w:val="32"/>
          <w:highlight w:val="none"/>
          <w:lang w:val="en-US" w:eastAsia="zh-CN"/>
        </w:rPr>
        <w:t>市场</w:t>
      </w:r>
      <w:r>
        <w:rPr>
          <w:rFonts w:ascii="Times New Roman" w:hAnsi="Times New Roman" w:eastAsia="仿宋_GB2312" w:cs="Times New Roman"/>
          <w:bCs/>
          <w:sz w:val="32"/>
          <w:szCs w:val="32"/>
          <w:highlight w:val="none"/>
        </w:rPr>
        <w:t xml:space="preserve">经营主体的权利和义务主要包括： </w:t>
      </w:r>
    </w:p>
    <w:p w14:paraId="5E7294E0">
      <w:pPr>
        <w:pStyle w:val="17"/>
        <w:numPr>
          <w:ilvl w:val="0"/>
          <w:numId w:val="2"/>
        </w:numPr>
        <w:snapToGrid w:val="0"/>
        <w:spacing w:line="588" w:lineRule="exact"/>
        <w:ind w:firstLine="640"/>
        <w:rPr>
          <w:rFonts w:ascii="Times New Roman" w:hAnsi="Times New Roman" w:eastAsia="仿宋_GB2312" w:cs="仿宋_GB2312"/>
          <w:bCs/>
          <w:sz w:val="32"/>
          <w:szCs w:val="32"/>
          <w:highlight w:val="none"/>
        </w:rPr>
      </w:pPr>
      <w:r>
        <w:rPr>
          <w:rFonts w:ascii="Times New Roman" w:hAnsi="Times New Roman" w:eastAsia="仿宋_GB2312" w:cs="仿宋_GB2312"/>
          <w:bCs/>
          <w:sz w:val="32"/>
          <w:szCs w:val="32"/>
          <w:highlight w:val="none"/>
        </w:rPr>
        <w:t>按照市场规则参与电力</w:t>
      </w:r>
      <w:r>
        <w:rPr>
          <w:rFonts w:hint="eastAsia" w:ascii="Times New Roman" w:hAnsi="Times New Roman" w:eastAsia="仿宋_GB2312" w:cs="仿宋_GB2312"/>
          <w:bCs/>
          <w:sz w:val="32"/>
          <w:szCs w:val="32"/>
          <w:highlight w:val="none"/>
          <w:lang w:val="en-US" w:eastAsia="zh-CN"/>
        </w:rPr>
        <w:t>市场</w:t>
      </w:r>
      <w:r>
        <w:rPr>
          <w:rFonts w:ascii="Times New Roman" w:hAnsi="Times New Roman" w:eastAsia="仿宋_GB2312" w:cs="仿宋_GB2312"/>
          <w:bCs/>
          <w:sz w:val="32"/>
          <w:szCs w:val="32"/>
          <w:highlight w:val="none"/>
        </w:rPr>
        <w:t>，签订和履行电力交易合同</w:t>
      </w:r>
      <w:r>
        <w:rPr>
          <w:rFonts w:hint="eastAsia" w:ascii="Times New Roman" w:hAnsi="Times New Roman" w:eastAsia="仿宋_GB2312" w:cs="仿宋_GB2312"/>
          <w:bCs/>
          <w:sz w:val="32"/>
          <w:szCs w:val="32"/>
          <w:highlight w:val="none"/>
          <w:lang w:eastAsia="zh-CN"/>
        </w:rPr>
        <w:t>、</w:t>
      </w:r>
      <w:r>
        <w:rPr>
          <w:rFonts w:hint="eastAsia" w:ascii="Times New Roman" w:hAnsi="Times New Roman" w:eastAsia="仿宋_GB2312" w:cs="仿宋_GB2312"/>
          <w:bCs/>
          <w:sz w:val="32"/>
          <w:szCs w:val="32"/>
          <w:highlight w:val="none"/>
          <w:lang w:val="en-US" w:eastAsia="zh-CN"/>
        </w:rPr>
        <w:t>购售电合同、</w:t>
      </w:r>
      <w:r>
        <w:rPr>
          <w:rFonts w:hint="eastAsia" w:ascii="Times New Roman" w:hAnsi="Times New Roman" w:eastAsia="仿宋_GB2312" w:cs="仿宋_GB2312"/>
          <w:bCs/>
          <w:sz w:val="32"/>
          <w:szCs w:val="32"/>
          <w:highlight w:val="none"/>
        </w:rPr>
        <w:t>供用电合同</w:t>
      </w:r>
      <w:r>
        <w:rPr>
          <w:rFonts w:hint="eastAsia" w:ascii="Times New Roman" w:hAnsi="Times New Roman" w:eastAsia="仿宋_GB2312" w:cs="仿宋_GB2312"/>
          <w:bCs/>
          <w:sz w:val="32"/>
          <w:szCs w:val="32"/>
          <w:highlight w:val="none"/>
          <w:lang w:val="en-US" w:eastAsia="zh-CN"/>
        </w:rPr>
        <w:t>或</w:t>
      </w:r>
      <w:r>
        <w:rPr>
          <w:rFonts w:hint="eastAsia" w:ascii="Times New Roman" w:hAnsi="Times New Roman" w:eastAsia="仿宋_GB2312" w:cs="仿宋_GB2312"/>
          <w:bCs/>
          <w:sz w:val="32"/>
          <w:szCs w:val="32"/>
          <w:highlight w:val="none"/>
        </w:rPr>
        <w:t>电费结算协议</w:t>
      </w:r>
      <w:r>
        <w:rPr>
          <w:rFonts w:hint="eastAsia" w:ascii="Times New Roman" w:hAnsi="Times New Roman" w:eastAsia="仿宋_GB2312" w:cs="仿宋_GB2312"/>
          <w:bCs/>
          <w:sz w:val="32"/>
          <w:szCs w:val="32"/>
          <w:highlight w:val="none"/>
          <w:lang w:val="en-US" w:eastAsia="zh-CN"/>
        </w:rPr>
        <w:t>等合同或协议</w:t>
      </w:r>
      <w:r>
        <w:rPr>
          <w:rFonts w:hint="eastAsia" w:ascii="Times New Roman" w:hAnsi="Times New Roman" w:eastAsia="仿宋_GB2312" w:cs="仿宋_GB2312"/>
          <w:bCs/>
          <w:sz w:val="32"/>
          <w:szCs w:val="32"/>
          <w:highlight w:val="none"/>
          <w:lang w:eastAsia="zh-CN"/>
        </w:rPr>
        <w:t>。</w:t>
      </w:r>
    </w:p>
    <w:p w14:paraId="16334E00">
      <w:pPr>
        <w:pStyle w:val="17"/>
        <w:numPr>
          <w:ilvl w:val="0"/>
          <w:numId w:val="2"/>
        </w:numPr>
        <w:snapToGrid w:val="0"/>
        <w:spacing w:line="588" w:lineRule="exact"/>
        <w:ind w:firstLine="640"/>
        <w:rPr>
          <w:rFonts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lang w:val="en-US" w:eastAsia="zh-CN"/>
        </w:rPr>
        <w:t>依法依规披露和</w:t>
      </w:r>
      <w:r>
        <w:rPr>
          <w:rFonts w:ascii="Times New Roman" w:hAnsi="Times New Roman" w:eastAsia="仿宋_GB2312" w:cs="仿宋_GB2312"/>
          <w:bCs/>
          <w:sz w:val="32"/>
          <w:szCs w:val="32"/>
          <w:highlight w:val="none"/>
        </w:rPr>
        <w:t>提供支撑电力</w:t>
      </w:r>
      <w:r>
        <w:rPr>
          <w:rFonts w:hint="eastAsia" w:ascii="Times New Roman" w:hAnsi="Times New Roman" w:eastAsia="仿宋_GB2312" w:cs="仿宋_GB2312"/>
          <w:bCs/>
          <w:sz w:val="32"/>
          <w:szCs w:val="32"/>
          <w:highlight w:val="none"/>
          <w:lang w:val="en-US" w:eastAsia="zh-CN"/>
        </w:rPr>
        <w:t>市场</w:t>
      </w:r>
      <w:r>
        <w:rPr>
          <w:rFonts w:ascii="Times New Roman" w:hAnsi="Times New Roman" w:eastAsia="仿宋_GB2312" w:cs="仿宋_GB2312"/>
          <w:bCs/>
          <w:sz w:val="32"/>
          <w:szCs w:val="32"/>
          <w:highlight w:val="none"/>
        </w:rPr>
        <w:t>结算以及市场服务所需的相关数据。</w:t>
      </w:r>
    </w:p>
    <w:p w14:paraId="11AB9673">
      <w:pPr>
        <w:pStyle w:val="17"/>
        <w:snapToGrid w:val="0"/>
        <w:spacing w:line="588" w:lineRule="exact"/>
        <w:ind w:firstLine="640"/>
        <w:jc w:val="left"/>
        <w:rPr>
          <w:rFonts w:ascii="Times New Roman" w:hAnsi="Times New Roman" w:eastAsia="仿宋_GB2312" w:cs="仿宋_GB2312"/>
          <w:bCs/>
          <w:sz w:val="32"/>
          <w:szCs w:val="32"/>
          <w:highlight w:val="none"/>
        </w:rPr>
      </w:pPr>
      <w:r>
        <w:rPr>
          <w:rFonts w:ascii="Times New Roman" w:hAnsi="Times New Roman" w:eastAsia="仿宋_GB2312" w:cs="仿宋_GB2312"/>
          <w:bCs/>
          <w:sz w:val="32"/>
          <w:szCs w:val="32"/>
          <w:highlight w:val="none"/>
        </w:rPr>
        <w:t>（</w:t>
      </w:r>
      <w:r>
        <w:rPr>
          <w:rFonts w:hint="eastAsia" w:ascii="Times New Roman" w:hAnsi="Times New Roman" w:eastAsia="仿宋_GB2312" w:cs="仿宋_GB2312"/>
          <w:bCs/>
          <w:sz w:val="32"/>
          <w:szCs w:val="32"/>
          <w:highlight w:val="none"/>
        </w:rPr>
        <w:t>二</w:t>
      </w:r>
      <w:r>
        <w:rPr>
          <w:rFonts w:ascii="Times New Roman" w:hAnsi="Times New Roman" w:eastAsia="仿宋_GB2312" w:cs="仿宋_GB2312"/>
          <w:bCs/>
          <w:sz w:val="32"/>
          <w:szCs w:val="32"/>
          <w:highlight w:val="none"/>
        </w:rPr>
        <w:t>）获取、查看</w:t>
      </w:r>
      <w:r>
        <w:rPr>
          <w:rFonts w:hint="eastAsia" w:ascii="Times New Roman" w:hAnsi="Times New Roman" w:eastAsia="仿宋_GB2312" w:cs="仿宋_GB2312"/>
          <w:bCs/>
          <w:sz w:val="32"/>
          <w:szCs w:val="32"/>
          <w:highlight w:val="none"/>
        </w:rPr>
        <w:t>结算</w:t>
      </w:r>
      <w:r>
        <w:rPr>
          <w:rFonts w:hint="eastAsia" w:ascii="Times New Roman" w:hAnsi="Times New Roman" w:eastAsia="仿宋_GB2312" w:cs="仿宋_GB2312"/>
          <w:bCs/>
          <w:sz w:val="32"/>
          <w:szCs w:val="32"/>
          <w:highlight w:val="none"/>
          <w:lang w:val="en-US" w:eastAsia="zh-CN"/>
        </w:rPr>
        <w:t>依据</w:t>
      </w:r>
      <w:r>
        <w:rPr>
          <w:rFonts w:hint="eastAsia" w:ascii="Times New Roman" w:hAnsi="Times New Roman" w:eastAsia="仿宋_GB2312" w:cs="仿宋_GB2312"/>
          <w:bCs/>
          <w:sz w:val="32"/>
          <w:szCs w:val="32"/>
          <w:highlight w:val="none"/>
        </w:rPr>
        <w:t>及</w:t>
      </w:r>
      <w:r>
        <w:rPr>
          <w:rFonts w:hint="eastAsia" w:ascii="Times New Roman" w:hAnsi="Times New Roman" w:eastAsia="仿宋_GB2312" w:cs="仿宋_GB2312"/>
          <w:bCs/>
          <w:sz w:val="32"/>
          <w:szCs w:val="32"/>
          <w:highlight w:val="none"/>
          <w:lang w:eastAsia="zh-CN"/>
        </w:rPr>
        <w:t>电费账单</w:t>
      </w:r>
      <w:r>
        <w:rPr>
          <w:rFonts w:hint="eastAsia" w:ascii="Times New Roman" w:hAnsi="Times New Roman" w:eastAsia="仿宋_GB2312" w:cs="仿宋_GB2312"/>
          <w:bCs/>
          <w:sz w:val="32"/>
          <w:szCs w:val="32"/>
          <w:highlight w:val="none"/>
        </w:rPr>
        <w:t>，</w:t>
      </w:r>
      <w:r>
        <w:rPr>
          <w:rFonts w:ascii="Times New Roman" w:hAnsi="Times New Roman" w:eastAsia="仿宋_GB2312" w:cs="仿宋_GB2312"/>
          <w:bCs/>
          <w:sz w:val="32"/>
          <w:szCs w:val="32"/>
          <w:highlight w:val="none"/>
        </w:rPr>
        <w:t>按</w:t>
      </w:r>
      <w:r>
        <w:rPr>
          <w:rFonts w:hint="eastAsia" w:ascii="Times New Roman" w:hAnsi="Times New Roman" w:eastAsia="仿宋_GB2312" w:cs="仿宋_GB2312"/>
          <w:bCs/>
          <w:sz w:val="32"/>
          <w:szCs w:val="32"/>
          <w:highlight w:val="none"/>
        </w:rPr>
        <w:t>规定时间</w:t>
      </w:r>
      <w:r>
        <w:rPr>
          <w:rFonts w:ascii="Times New Roman" w:hAnsi="Times New Roman" w:eastAsia="仿宋_GB2312" w:cs="仿宋_GB2312"/>
          <w:bCs/>
          <w:sz w:val="32"/>
          <w:szCs w:val="32"/>
          <w:highlight w:val="none"/>
        </w:rPr>
        <w:t>核对并确认</w:t>
      </w:r>
      <w:r>
        <w:rPr>
          <w:rFonts w:hint="eastAsia" w:ascii="Times New Roman" w:hAnsi="Times New Roman" w:eastAsia="仿宋_GB2312" w:cs="仿宋_GB2312"/>
          <w:bCs/>
          <w:sz w:val="32"/>
          <w:szCs w:val="32"/>
          <w:highlight w:val="none"/>
          <w:lang w:val="en-US" w:eastAsia="zh-CN"/>
        </w:rPr>
        <w:t>其</w:t>
      </w:r>
      <w:r>
        <w:rPr>
          <w:rFonts w:ascii="Times New Roman" w:hAnsi="Times New Roman" w:eastAsia="仿宋_GB2312" w:cs="仿宋_GB2312"/>
          <w:bCs/>
          <w:sz w:val="32"/>
          <w:szCs w:val="32"/>
          <w:highlight w:val="none"/>
        </w:rPr>
        <w:t>完整性和准确性</w:t>
      </w:r>
      <w:r>
        <w:rPr>
          <w:rFonts w:hint="eastAsia" w:ascii="Times New Roman" w:hAnsi="Times New Roman" w:eastAsia="方正仿宋_GBK" w:cs="方正仿宋_GBK"/>
          <w:kern w:val="0"/>
          <w:sz w:val="30"/>
          <w:szCs w:val="30"/>
          <w:highlight w:val="none"/>
        </w:rPr>
        <w:t>。</w:t>
      </w:r>
    </w:p>
    <w:p w14:paraId="20FE8AFF">
      <w:pPr>
        <w:pStyle w:val="17"/>
        <w:snapToGrid w:val="0"/>
        <w:spacing w:line="588" w:lineRule="exact"/>
        <w:ind w:firstLine="640"/>
        <w:rPr>
          <w:rFonts w:ascii="Times New Roman" w:hAnsi="Times New Roman" w:eastAsia="仿宋_GB2312" w:cs="仿宋_GB2312"/>
          <w:bCs/>
          <w:sz w:val="32"/>
          <w:szCs w:val="32"/>
          <w:highlight w:val="none"/>
        </w:rPr>
      </w:pPr>
      <w:r>
        <w:rPr>
          <w:rFonts w:ascii="Times New Roman" w:hAnsi="Times New Roman" w:eastAsia="仿宋_GB2312" w:cs="仿宋_GB2312"/>
          <w:bCs/>
          <w:sz w:val="32"/>
          <w:szCs w:val="32"/>
          <w:highlight w:val="none"/>
        </w:rPr>
        <w:t>（</w:t>
      </w:r>
      <w:r>
        <w:rPr>
          <w:rFonts w:hint="eastAsia" w:ascii="Times New Roman" w:hAnsi="Times New Roman" w:eastAsia="仿宋_GB2312" w:cs="仿宋_GB2312"/>
          <w:bCs/>
          <w:sz w:val="32"/>
          <w:szCs w:val="32"/>
          <w:highlight w:val="none"/>
        </w:rPr>
        <w:t>三</w:t>
      </w:r>
      <w:r>
        <w:rPr>
          <w:rFonts w:ascii="Times New Roman" w:hAnsi="Times New Roman" w:eastAsia="仿宋_GB2312" w:cs="仿宋_GB2312"/>
          <w:bCs/>
          <w:sz w:val="32"/>
          <w:szCs w:val="32"/>
          <w:highlight w:val="none"/>
        </w:rPr>
        <w:t>）负责</w:t>
      </w:r>
      <w:r>
        <w:rPr>
          <w:rFonts w:hint="eastAsia" w:ascii="Times New Roman" w:hAnsi="Times New Roman" w:eastAsia="仿宋_GB2312" w:cs="仿宋_GB2312"/>
          <w:bCs/>
          <w:sz w:val="32"/>
          <w:szCs w:val="32"/>
          <w:highlight w:val="none"/>
          <w:lang w:val="en-US" w:eastAsia="zh-CN"/>
        </w:rPr>
        <w:t>向电网企业</w:t>
      </w:r>
      <w:r>
        <w:rPr>
          <w:rFonts w:ascii="Times New Roman" w:hAnsi="Times New Roman" w:eastAsia="仿宋_GB2312" w:cs="仿宋_GB2312"/>
          <w:bCs/>
          <w:sz w:val="32"/>
          <w:szCs w:val="32"/>
          <w:highlight w:val="none"/>
        </w:rPr>
        <w:t>提供用于资金</w:t>
      </w:r>
      <w:r>
        <w:rPr>
          <w:rFonts w:hint="eastAsia" w:ascii="Times New Roman" w:hAnsi="Times New Roman" w:eastAsia="仿宋_GB2312" w:cs="仿宋_GB2312"/>
          <w:bCs/>
          <w:sz w:val="32"/>
          <w:szCs w:val="32"/>
          <w:highlight w:val="none"/>
        </w:rPr>
        <w:t>收付</w:t>
      </w:r>
      <w:r>
        <w:rPr>
          <w:rFonts w:ascii="Times New Roman" w:hAnsi="Times New Roman" w:eastAsia="仿宋_GB2312" w:cs="仿宋_GB2312"/>
          <w:bCs/>
          <w:sz w:val="32"/>
          <w:szCs w:val="32"/>
          <w:highlight w:val="none"/>
        </w:rPr>
        <w:t>的银行账户</w:t>
      </w:r>
      <w:r>
        <w:rPr>
          <w:rFonts w:hint="eastAsia" w:ascii="Times New Roman" w:hAnsi="Times New Roman" w:eastAsia="仿宋_GB2312" w:cs="仿宋_GB2312"/>
          <w:bCs/>
          <w:sz w:val="32"/>
          <w:szCs w:val="32"/>
          <w:highlight w:val="none"/>
        </w:rPr>
        <w:t>，</w:t>
      </w:r>
      <w:r>
        <w:rPr>
          <w:rFonts w:ascii="Times New Roman" w:hAnsi="Times New Roman" w:eastAsia="仿宋_GB2312" w:cs="仿宋_GB2312"/>
          <w:bCs/>
          <w:sz w:val="32"/>
          <w:szCs w:val="32"/>
          <w:highlight w:val="none"/>
        </w:rPr>
        <w:t>按规定向电网企业支付或收取款项，完成电费</w:t>
      </w:r>
      <w:r>
        <w:rPr>
          <w:rFonts w:hint="eastAsia" w:ascii="Times New Roman" w:hAnsi="Times New Roman" w:eastAsia="仿宋_GB2312" w:cs="仿宋_GB2312"/>
          <w:bCs/>
          <w:sz w:val="32"/>
          <w:szCs w:val="32"/>
          <w:highlight w:val="none"/>
        </w:rPr>
        <w:t>收付。</w:t>
      </w:r>
    </w:p>
    <w:p w14:paraId="1C1A1259">
      <w:pPr>
        <w:pStyle w:val="17"/>
        <w:snapToGrid w:val="0"/>
        <w:spacing w:line="588" w:lineRule="exact"/>
        <w:ind w:firstLine="640"/>
        <w:rPr>
          <w:rFonts w:ascii="Times New Roman" w:hAnsi="Times New Roman" w:eastAsia="仿宋_GB2312" w:cs="仿宋_GB2312"/>
          <w:bCs/>
          <w:sz w:val="32"/>
          <w:szCs w:val="32"/>
          <w:highlight w:val="none"/>
        </w:rPr>
      </w:pPr>
      <w:r>
        <w:rPr>
          <w:rFonts w:ascii="Times New Roman" w:hAnsi="Times New Roman" w:eastAsia="仿宋_GB2312" w:cs="仿宋_GB2312"/>
          <w:bCs/>
          <w:sz w:val="32"/>
          <w:szCs w:val="32"/>
          <w:highlight w:val="none"/>
        </w:rPr>
        <w:t>（</w:t>
      </w:r>
      <w:r>
        <w:rPr>
          <w:rFonts w:hint="eastAsia" w:ascii="Times New Roman" w:hAnsi="Times New Roman" w:eastAsia="仿宋_GB2312" w:cs="仿宋_GB2312"/>
          <w:bCs/>
          <w:sz w:val="32"/>
          <w:szCs w:val="32"/>
          <w:highlight w:val="none"/>
        </w:rPr>
        <w:t>四</w:t>
      </w:r>
      <w:r>
        <w:rPr>
          <w:rFonts w:ascii="Times New Roman" w:hAnsi="Times New Roman" w:eastAsia="仿宋_GB2312" w:cs="仿宋_GB2312"/>
          <w:bCs/>
          <w:sz w:val="32"/>
          <w:szCs w:val="32"/>
          <w:highlight w:val="none"/>
        </w:rPr>
        <w:t>）</w:t>
      </w:r>
      <w:r>
        <w:rPr>
          <w:rStyle w:val="19"/>
          <w:rFonts w:hint="default" w:ascii="Times New Roman" w:hAnsi="Times New Roman" w:eastAsia="仿宋_GB2312" w:cs="仿宋_GB2312"/>
          <w:color w:val="auto"/>
          <w:szCs w:val="32"/>
          <w:highlight w:val="none"/>
        </w:rPr>
        <w:t>配合电网企业做好</w:t>
      </w:r>
      <w:r>
        <w:rPr>
          <w:rStyle w:val="19"/>
          <w:rFonts w:hint="eastAsia" w:ascii="Times New Roman" w:hAnsi="Times New Roman" w:eastAsia="仿宋_GB2312" w:cs="仿宋_GB2312"/>
          <w:color w:val="auto"/>
          <w:szCs w:val="32"/>
          <w:highlight w:val="none"/>
        </w:rPr>
        <w:t>自身</w:t>
      </w:r>
      <w:r>
        <w:rPr>
          <w:rStyle w:val="19"/>
          <w:rFonts w:hint="default" w:ascii="Times New Roman" w:hAnsi="Times New Roman" w:eastAsia="仿宋_GB2312" w:cs="仿宋_GB2312"/>
          <w:color w:val="auto"/>
          <w:szCs w:val="32"/>
          <w:highlight w:val="none"/>
        </w:rPr>
        <w:t>涉及结算相关关口计量装置的</w:t>
      </w:r>
      <w:r>
        <w:rPr>
          <w:rStyle w:val="19"/>
          <w:rFonts w:hint="eastAsia" w:ascii="Times New Roman" w:hAnsi="Times New Roman" w:eastAsia="仿宋_GB2312" w:cs="仿宋_GB2312"/>
          <w:color w:val="auto"/>
          <w:szCs w:val="32"/>
          <w:highlight w:val="none"/>
          <w:lang w:val="en-US"/>
        </w:rPr>
        <w:t>改造、</w:t>
      </w:r>
      <w:r>
        <w:rPr>
          <w:rStyle w:val="19"/>
          <w:rFonts w:hint="default" w:ascii="Times New Roman" w:hAnsi="Times New Roman" w:eastAsia="仿宋_GB2312" w:cs="仿宋_GB2312"/>
          <w:color w:val="auto"/>
          <w:szCs w:val="32"/>
          <w:highlight w:val="none"/>
        </w:rPr>
        <w:t>验收、现场</w:t>
      </w:r>
      <w:r>
        <w:rPr>
          <w:rStyle w:val="19"/>
          <w:rFonts w:hint="eastAsia" w:ascii="Times New Roman" w:hAnsi="Times New Roman" w:eastAsia="仿宋_GB2312" w:cs="仿宋_GB2312"/>
          <w:color w:val="auto"/>
          <w:szCs w:val="32"/>
          <w:highlight w:val="none"/>
          <w:lang w:val="en-US"/>
        </w:rPr>
        <w:t>检查</w:t>
      </w:r>
      <w:r>
        <w:rPr>
          <w:rStyle w:val="19"/>
          <w:rFonts w:hint="default" w:ascii="Times New Roman" w:hAnsi="Times New Roman" w:eastAsia="仿宋_GB2312" w:cs="仿宋_GB2312"/>
          <w:color w:val="auto"/>
          <w:szCs w:val="32"/>
          <w:highlight w:val="none"/>
        </w:rPr>
        <w:t>、故障处理等工作。</w:t>
      </w:r>
    </w:p>
    <w:p w14:paraId="28FED262">
      <w:pPr>
        <w:pStyle w:val="20"/>
        <w:numPr>
          <w:ilvl w:val="255"/>
          <w:numId w:val="0"/>
        </w:numPr>
        <w:snapToGrid w:val="0"/>
        <w:spacing w:line="588" w:lineRule="exact"/>
        <w:ind w:firstLine="640"/>
        <w:rPr>
          <w:rStyle w:val="19"/>
          <w:rFonts w:hint="default" w:ascii="Times New Roman" w:hAnsi="Times New Roman" w:eastAsia="仿宋_GB2312" w:cs="仿宋_GB2312"/>
          <w:color w:val="auto"/>
          <w:szCs w:val="32"/>
          <w:highlight w:val="none"/>
        </w:rPr>
      </w:pPr>
      <w:r>
        <w:rPr>
          <w:rFonts w:hint="eastAsia" w:ascii="Times New Roman" w:hAnsi="Times New Roman" w:eastAsia="仿宋_GB2312" w:cs="仿宋_GB2312"/>
          <w:bCs/>
          <w:sz w:val="32"/>
          <w:szCs w:val="32"/>
          <w:highlight w:val="none"/>
        </w:rPr>
        <w:t>（五）</w:t>
      </w:r>
      <w:r>
        <w:rPr>
          <w:rFonts w:ascii="Times New Roman" w:hAnsi="Times New Roman" w:eastAsia="仿宋_GB2312" w:cs="仿宋_GB2312"/>
          <w:bCs/>
          <w:sz w:val="32"/>
          <w:szCs w:val="32"/>
          <w:highlight w:val="none"/>
        </w:rPr>
        <w:t>拥有配电网运营权的售电公司根据政府有关规定开展电费结算。</w:t>
      </w:r>
    </w:p>
    <w:p w14:paraId="059BAB77">
      <w:pPr>
        <w:pStyle w:val="17"/>
        <w:snapToGrid w:val="0"/>
        <w:spacing w:line="588" w:lineRule="exact"/>
        <w:ind w:firstLine="640"/>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highlight w:val="none"/>
        </w:rPr>
        <w:t>（</w:t>
      </w:r>
      <w:r>
        <w:rPr>
          <w:rFonts w:hint="eastAsia" w:ascii="Times New Roman" w:hAnsi="Times New Roman" w:eastAsia="仿宋_GB2312" w:cs="仿宋_GB2312"/>
          <w:sz w:val="32"/>
          <w:szCs w:val="32"/>
          <w:highlight w:val="none"/>
          <w:lang w:eastAsia="zh-CN"/>
        </w:rPr>
        <w:t>六</w:t>
      </w:r>
      <w:r>
        <w:rPr>
          <w:rFonts w:hint="eastAsia" w:ascii="Times New Roman" w:hAnsi="Times New Roman" w:eastAsia="仿宋_GB2312" w:cs="仿宋_GB2312"/>
          <w:sz w:val="32"/>
          <w:szCs w:val="32"/>
          <w:highlight w:val="none"/>
        </w:rPr>
        <w:t>）</w:t>
      </w:r>
      <w:r>
        <w:rPr>
          <w:rFonts w:hint="eastAsia" w:ascii="Times New Roman" w:hAnsi="Times New Roman" w:eastAsia="仿宋_GB2312" w:cs="仿宋_GB2312"/>
          <w:sz w:val="32"/>
          <w:szCs w:val="32"/>
          <w:highlight w:val="none"/>
          <w:lang w:eastAsia="zh-CN"/>
        </w:rPr>
        <w:t>售电公司根据用户授权掌握历史用电信息，</w:t>
      </w:r>
      <w:r>
        <w:rPr>
          <w:rFonts w:hint="eastAsia" w:ascii="Times New Roman" w:hAnsi="Times New Roman" w:eastAsia="仿宋_GB2312" w:cs="仿宋_GB2312"/>
          <w:sz w:val="32"/>
          <w:szCs w:val="32"/>
          <w:highlight w:val="none"/>
          <w:lang w:val="en-US" w:eastAsia="zh-CN"/>
        </w:rPr>
        <w:t>可</w:t>
      </w:r>
      <w:r>
        <w:rPr>
          <w:rFonts w:hint="eastAsia" w:ascii="Times New Roman" w:hAnsi="Times New Roman" w:eastAsia="仿宋_GB2312" w:cs="仿宋_GB2312"/>
          <w:sz w:val="32"/>
          <w:szCs w:val="32"/>
          <w:highlight w:val="none"/>
          <w:lang w:eastAsia="zh-CN"/>
        </w:rPr>
        <w:t>在电力交易</w:t>
      </w:r>
      <w:r>
        <w:rPr>
          <w:rFonts w:hint="eastAsia" w:ascii="Times New Roman" w:hAnsi="Times New Roman" w:eastAsia="仿宋_GB2312" w:cs="仿宋_GB2312"/>
          <w:sz w:val="32"/>
          <w:szCs w:val="32"/>
          <w:highlight w:val="none"/>
          <w:lang w:val="en-US" w:eastAsia="zh-CN"/>
        </w:rPr>
        <w:t>或电网平台</w:t>
      </w:r>
      <w:r>
        <w:rPr>
          <w:rFonts w:hint="eastAsia" w:ascii="Times New Roman" w:hAnsi="Times New Roman" w:eastAsia="仿宋_GB2312" w:cs="仿宋_GB2312"/>
          <w:sz w:val="32"/>
          <w:szCs w:val="32"/>
          <w:highlight w:val="none"/>
          <w:lang w:eastAsia="zh-CN"/>
        </w:rPr>
        <w:t>进行数据查询和下载。</w:t>
      </w:r>
    </w:p>
    <w:p w14:paraId="7761C641">
      <w:pPr>
        <w:pStyle w:val="17"/>
        <w:snapToGrid w:val="0"/>
        <w:spacing w:line="588" w:lineRule="exact"/>
        <w:ind w:firstLine="640"/>
        <w:rPr>
          <w:rFonts w:ascii="Times New Roman" w:hAnsi="Times New Roman" w:eastAsia="仿宋_GB2312" w:cs="仿宋_GB2312"/>
          <w:bCs/>
          <w:sz w:val="32"/>
          <w:szCs w:val="32"/>
          <w:highlight w:val="none"/>
        </w:rPr>
      </w:pPr>
      <w:r>
        <w:rPr>
          <w:rFonts w:hint="eastAsia" w:ascii="Times New Roman" w:hAnsi="Times New Roman" w:eastAsia="仿宋_GB2312" w:cs="仿宋_GB2312"/>
          <w:sz w:val="32"/>
          <w:szCs w:val="32"/>
          <w:highlight w:val="none"/>
          <w:lang w:eastAsia="zh-CN"/>
        </w:rPr>
        <w:t>（七）</w:t>
      </w:r>
      <w:r>
        <w:rPr>
          <w:rFonts w:hint="eastAsia" w:ascii="Times New Roman" w:hAnsi="Times New Roman" w:eastAsia="仿宋_GB2312" w:cs="仿宋_GB2312"/>
          <w:sz w:val="32"/>
          <w:szCs w:val="32"/>
          <w:highlight w:val="none"/>
        </w:rPr>
        <w:t>法律法规、政策文件规定的其他权利与义务。</w:t>
      </w:r>
    </w:p>
    <w:p w14:paraId="63DB1057">
      <w:pPr>
        <w:pStyle w:val="18"/>
        <w:numPr>
          <w:ilvl w:val="0"/>
          <w:numId w:val="1"/>
        </w:numPr>
        <w:snapToGrid w:val="0"/>
        <w:spacing w:line="588" w:lineRule="exact"/>
        <w:ind w:left="0" w:firstLine="640" w:firstLineChars="200"/>
        <w:jc w:val="both"/>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电力交易机构的权利和义务主</w:t>
      </w:r>
      <w:r>
        <w:rPr>
          <w:rFonts w:hint="eastAsia" w:ascii="Times New Roman" w:hAnsi="Times New Roman" w:eastAsia="仿宋_GB2312" w:cs="Times New Roman"/>
          <w:bCs/>
          <w:sz w:val="32"/>
          <w:szCs w:val="32"/>
          <w:highlight w:val="none"/>
        </w:rPr>
        <w:t>要包括：</w:t>
      </w:r>
    </w:p>
    <w:p w14:paraId="4DDC9D06">
      <w:pPr>
        <w:pStyle w:val="17"/>
        <w:numPr>
          <w:ilvl w:val="0"/>
          <w:numId w:val="3"/>
        </w:numPr>
        <w:snapToGrid w:val="0"/>
        <w:spacing w:line="588" w:lineRule="exact"/>
        <w:ind w:firstLine="640"/>
        <w:rPr>
          <w:rFonts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rPr>
        <w:t>负责汇总</w:t>
      </w:r>
      <w:r>
        <w:rPr>
          <w:rFonts w:hint="eastAsia" w:ascii="Times New Roman" w:hAnsi="Times New Roman" w:eastAsia="仿宋_GB2312" w:cs="仿宋_GB2312"/>
          <w:bCs/>
          <w:sz w:val="32"/>
          <w:szCs w:val="32"/>
          <w:highlight w:val="none"/>
          <w:lang w:val="en-US" w:eastAsia="zh-CN"/>
        </w:rPr>
        <w:t>结算</w:t>
      </w:r>
      <w:r>
        <w:rPr>
          <w:rFonts w:hint="eastAsia" w:ascii="Times New Roman" w:hAnsi="Times New Roman" w:eastAsia="仿宋_GB2312" w:cs="仿宋_GB2312"/>
          <w:bCs/>
          <w:sz w:val="32"/>
          <w:szCs w:val="32"/>
          <w:highlight w:val="none"/>
        </w:rPr>
        <w:t>基础数据</w:t>
      </w:r>
      <w:r>
        <w:rPr>
          <w:rFonts w:hint="eastAsia" w:ascii="Times New Roman" w:hAnsi="Times New Roman" w:eastAsia="仿宋_GB2312" w:cs="仿宋_GB2312"/>
          <w:sz w:val="32"/>
          <w:szCs w:val="32"/>
          <w:highlight w:val="none"/>
        </w:rPr>
        <w:t>。</w:t>
      </w:r>
    </w:p>
    <w:p w14:paraId="7E8E5F69">
      <w:pPr>
        <w:pStyle w:val="17"/>
        <w:numPr>
          <w:ilvl w:val="0"/>
          <w:numId w:val="3"/>
        </w:numPr>
        <w:snapToGrid w:val="0"/>
        <w:spacing w:line="588" w:lineRule="exact"/>
        <w:ind w:firstLine="640"/>
        <w:rPr>
          <w:rFonts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lang w:val="en-US" w:eastAsia="zh-CN"/>
        </w:rPr>
        <w:t>负责编制</w:t>
      </w:r>
      <w:r>
        <w:rPr>
          <w:rFonts w:hint="eastAsia" w:ascii="Times New Roman" w:hAnsi="Times New Roman" w:eastAsia="仿宋_GB2312" w:cs="仿宋_GB2312"/>
          <w:bCs/>
          <w:sz w:val="32"/>
          <w:szCs w:val="32"/>
          <w:highlight w:val="none"/>
        </w:rPr>
        <w:t>结算</w:t>
      </w:r>
      <w:r>
        <w:rPr>
          <w:rFonts w:hint="eastAsia" w:ascii="Times New Roman" w:hAnsi="Times New Roman" w:eastAsia="仿宋_GB2312" w:cs="仿宋_GB2312"/>
          <w:bCs/>
          <w:sz w:val="32"/>
          <w:szCs w:val="32"/>
          <w:highlight w:val="none"/>
          <w:lang w:val="en-US" w:eastAsia="zh-CN"/>
        </w:rPr>
        <w:t>依据</w:t>
      </w:r>
      <w:r>
        <w:rPr>
          <w:rFonts w:hint="eastAsia" w:ascii="Times New Roman" w:hAnsi="Times New Roman" w:eastAsia="仿宋_GB2312" w:cs="仿宋_GB2312"/>
          <w:bCs/>
          <w:sz w:val="32"/>
          <w:szCs w:val="32"/>
          <w:highlight w:val="none"/>
        </w:rPr>
        <w:t>，</w:t>
      </w:r>
      <w:r>
        <w:rPr>
          <w:rFonts w:hint="eastAsia" w:ascii="Times New Roman" w:hAnsi="Times New Roman" w:eastAsia="仿宋_GB2312" w:cs="Times New Roman"/>
          <w:sz w:val="32"/>
          <w:szCs w:val="32"/>
          <w:highlight w:val="none"/>
        </w:rPr>
        <w:t>并保证</w:t>
      </w:r>
      <w:r>
        <w:rPr>
          <w:rFonts w:hint="eastAsia" w:ascii="Times New Roman" w:hAnsi="Times New Roman" w:eastAsia="仿宋_GB2312" w:cs="Times New Roman"/>
          <w:sz w:val="32"/>
          <w:szCs w:val="32"/>
          <w:highlight w:val="none"/>
          <w:lang w:val="en-US" w:eastAsia="zh-CN"/>
        </w:rPr>
        <w:t>结算依据的</w:t>
      </w:r>
      <w:r>
        <w:rPr>
          <w:rFonts w:hint="eastAsia" w:ascii="Times New Roman" w:hAnsi="Times New Roman" w:eastAsia="仿宋_GB2312" w:cs="Times New Roman"/>
          <w:sz w:val="32"/>
          <w:szCs w:val="32"/>
          <w:highlight w:val="none"/>
        </w:rPr>
        <w:t>准确性</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完整性</w:t>
      </w:r>
      <w:r>
        <w:rPr>
          <w:rFonts w:hint="eastAsia" w:ascii="Times New Roman" w:hAnsi="Times New Roman" w:eastAsia="仿宋_GB2312" w:cs="Times New Roman"/>
          <w:sz w:val="32"/>
          <w:szCs w:val="32"/>
          <w:highlight w:val="none"/>
        </w:rPr>
        <w:t>和及时性</w:t>
      </w:r>
      <w:r>
        <w:rPr>
          <w:rFonts w:hint="eastAsia" w:ascii="Times New Roman" w:hAnsi="Times New Roman" w:eastAsia="仿宋_GB2312" w:cs="仿宋_GB2312"/>
          <w:sz w:val="32"/>
          <w:szCs w:val="32"/>
          <w:highlight w:val="none"/>
        </w:rPr>
        <w:t>。</w:t>
      </w:r>
    </w:p>
    <w:p w14:paraId="64721BFA">
      <w:pPr>
        <w:pStyle w:val="17"/>
        <w:numPr>
          <w:ilvl w:val="0"/>
          <w:numId w:val="3"/>
        </w:numPr>
        <w:snapToGrid w:val="0"/>
        <w:spacing w:line="588" w:lineRule="exact"/>
        <w:ind w:firstLine="640"/>
        <w:rPr>
          <w:rFonts w:ascii="Times New Roman" w:hAnsi="Times New Roman" w:eastAsia="仿宋_GB2312" w:cs="仿宋_GB2312"/>
          <w:bCs/>
          <w:sz w:val="32"/>
          <w:szCs w:val="32"/>
          <w:highlight w:val="none"/>
        </w:rPr>
      </w:pPr>
      <w:r>
        <w:rPr>
          <w:rFonts w:ascii="Times New Roman" w:hAnsi="Times New Roman" w:eastAsia="仿宋_GB2312" w:cs="仿宋_GB2312"/>
          <w:bCs/>
          <w:sz w:val="32"/>
          <w:szCs w:val="32"/>
          <w:highlight w:val="none"/>
        </w:rPr>
        <w:t>负责通过电力交易平台向</w:t>
      </w:r>
      <w:r>
        <w:rPr>
          <w:rFonts w:hint="eastAsia" w:ascii="Times New Roman" w:hAnsi="Times New Roman" w:eastAsia="仿宋_GB2312" w:cs="仿宋_GB2312"/>
          <w:bCs/>
          <w:sz w:val="32"/>
          <w:szCs w:val="32"/>
          <w:highlight w:val="none"/>
          <w:lang w:val="en-US" w:eastAsia="zh-CN"/>
        </w:rPr>
        <w:t>市场</w:t>
      </w:r>
      <w:r>
        <w:rPr>
          <w:rFonts w:ascii="Times New Roman" w:hAnsi="Times New Roman" w:eastAsia="仿宋_GB2312" w:cs="仿宋_GB2312"/>
          <w:bCs/>
          <w:sz w:val="32"/>
          <w:szCs w:val="32"/>
          <w:highlight w:val="none"/>
        </w:rPr>
        <w:t>经营主体</w:t>
      </w:r>
      <w:r>
        <w:rPr>
          <w:rFonts w:hint="eastAsia" w:ascii="Times New Roman" w:hAnsi="Times New Roman" w:eastAsia="仿宋_GB2312" w:cs="仿宋_GB2312"/>
          <w:bCs/>
          <w:sz w:val="32"/>
          <w:szCs w:val="32"/>
          <w:highlight w:val="none"/>
          <w:lang w:eastAsia="zh-CN"/>
        </w:rPr>
        <w:t>、</w:t>
      </w:r>
      <w:r>
        <w:rPr>
          <w:rFonts w:hint="eastAsia" w:ascii="Times New Roman" w:hAnsi="Times New Roman" w:eastAsia="仿宋_GB2312" w:cs="仿宋_GB2312"/>
          <w:bCs/>
          <w:sz w:val="32"/>
          <w:szCs w:val="32"/>
          <w:highlight w:val="none"/>
          <w:lang w:val="en-US" w:eastAsia="zh-CN"/>
        </w:rPr>
        <w:t>电网企业</w:t>
      </w:r>
      <w:r>
        <w:rPr>
          <w:rFonts w:hint="eastAsia" w:ascii="Times New Roman" w:hAnsi="Times New Roman" w:eastAsia="仿宋_GB2312" w:cs="仿宋_GB2312"/>
          <w:bCs/>
          <w:sz w:val="32"/>
          <w:szCs w:val="32"/>
          <w:highlight w:val="none"/>
        </w:rPr>
        <w:t>出具</w:t>
      </w:r>
      <w:r>
        <w:rPr>
          <w:rFonts w:hint="eastAsia" w:ascii="Times New Roman" w:hAnsi="Times New Roman" w:eastAsia="仿宋_GB2312" w:cs="仿宋_GB2312"/>
          <w:bCs/>
          <w:sz w:val="32"/>
          <w:szCs w:val="32"/>
          <w:highlight w:val="none"/>
          <w:lang w:val="en-US" w:eastAsia="zh-CN"/>
        </w:rPr>
        <w:t>结算依据，</w:t>
      </w:r>
      <w:r>
        <w:rPr>
          <w:rFonts w:hint="eastAsia" w:ascii="Times New Roman" w:hAnsi="Times New Roman" w:eastAsia="仿宋_GB2312" w:cs="仿宋_GB2312"/>
          <w:bCs/>
          <w:sz w:val="32"/>
          <w:szCs w:val="32"/>
          <w:highlight w:val="none"/>
        </w:rPr>
        <w:t>提供结算相关服务</w:t>
      </w:r>
      <w:r>
        <w:rPr>
          <w:rFonts w:ascii="Times New Roman" w:hAnsi="Times New Roman" w:eastAsia="仿宋_GB2312" w:cs="仿宋_GB2312"/>
          <w:bCs/>
          <w:sz w:val="32"/>
          <w:szCs w:val="32"/>
          <w:highlight w:val="none"/>
        </w:rPr>
        <w:t>。</w:t>
      </w:r>
    </w:p>
    <w:p w14:paraId="2BCF9FC7">
      <w:pPr>
        <w:pStyle w:val="17"/>
        <w:numPr>
          <w:ilvl w:val="0"/>
          <w:numId w:val="3"/>
        </w:numPr>
        <w:snapToGrid w:val="0"/>
        <w:spacing w:line="588"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仿宋_GB2312"/>
          <w:bCs/>
          <w:sz w:val="32"/>
          <w:szCs w:val="32"/>
          <w:highlight w:val="none"/>
          <w:lang w:val="en-US" w:eastAsia="zh-CN"/>
        </w:rPr>
        <w:t>组织</w:t>
      </w:r>
      <w:r>
        <w:rPr>
          <w:rFonts w:hint="eastAsia" w:ascii="Times New Roman" w:hAnsi="Times New Roman" w:eastAsia="仿宋_GB2312" w:cs="Times New Roman"/>
          <w:sz w:val="32"/>
          <w:szCs w:val="32"/>
          <w:highlight w:val="none"/>
        </w:rPr>
        <w:t>协调结算</w:t>
      </w:r>
      <w:r>
        <w:rPr>
          <w:rFonts w:hint="eastAsia" w:ascii="Times New Roman" w:hAnsi="Times New Roman" w:eastAsia="仿宋_GB2312" w:cs="Times New Roman"/>
          <w:sz w:val="32"/>
          <w:szCs w:val="32"/>
          <w:highlight w:val="none"/>
          <w:lang w:val="en-US" w:eastAsia="zh-CN"/>
        </w:rPr>
        <w:t>依据</w:t>
      </w:r>
      <w:r>
        <w:rPr>
          <w:rFonts w:hint="eastAsia" w:ascii="Times New Roman" w:hAnsi="Times New Roman" w:eastAsia="仿宋_GB2312" w:cs="Times New Roman"/>
          <w:sz w:val="32"/>
          <w:szCs w:val="32"/>
          <w:highlight w:val="none"/>
        </w:rPr>
        <w:t>有关问题，</w:t>
      </w:r>
      <w:r>
        <w:rPr>
          <w:rFonts w:hint="eastAsia" w:ascii="Times New Roman" w:hAnsi="Times New Roman" w:eastAsia="仿宋_GB2312" w:cs="Times New Roman"/>
          <w:sz w:val="32"/>
          <w:szCs w:val="32"/>
          <w:highlight w:val="none"/>
          <w:lang w:val="en-US" w:eastAsia="zh-CN"/>
        </w:rPr>
        <w:t>参与协调电费结算有关问题</w:t>
      </w:r>
      <w:r>
        <w:rPr>
          <w:rFonts w:hint="eastAsia" w:ascii="Times New Roman" w:hAnsi="Times New Roman" w:eastAsia="仿宋_GB2312" w:cs="Times New Roman"/>
          <w:sz w:val="32"/>
          <w:szCs w:val="32"/>
          <w:highlight w:val="none"/>
        </w:rPr>
        <w:t>。</w:t>
      </w:r>
    </w:p>
    <w:p w14:paraId="47CE156E">
      <w:pPr>
        <w:pStyle w:val="17"/>
        <w:numPr>
          <w:ilvl w:val="0"/>
          <w:numId w:val="3"/>
        </w:numPr>
        <w:snapToGrid w:val="0"/>
        <w:spacing w:line="588"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按照有关规定，</w:t>
      </w:r>
      <w:r>
        <w:rPr>
          <w:rFonts w:hint="eastAsia" w:ascii="Times New Roman" w:hAnsi="Times New Roman" w:eastAsia="仿宋_GB2312" w:cs="Times New Roman"/>
          <w:sz w:val="32"/>
          <w:szCs w:val="32"/>
          <w:highlight w:val="none"/>
          <w:lang w:val="en-US" w:eastAsia="zh-CN"/>
        </w:rPr>
        <w:t>对</w:t>
      </w:r>
      <w:r>
        <w:rPr>
          <w:rFonts w:hint="eastAsia" w:ascii="Times New Roman" w:hAnsi="Times New Roman" w:eastAsia="仿宋_GB2312" w:cs="Times New Roman"/>
          <w:sz w:val="32"/>
          <w:szCs w:val="32"/>
          <w:highlight w:val="none"/>
        </w:rPr>
        <w:t>市场经营主体计量结算的信息和数据进行管理。</w:t>
      </w:r>
    </w:p>
    <w:p w14:paraId="351DC84A">
      <w:pPr>
        <w:pStyle w:val="17"/>
        <w:numPr>
          <w:ilvl w:val="0"/>
          <w:numId w:val="3"/>
        </w:numPr>
        <w:snapToGrid w:val="0"/>
        <w:spacing w:line="588" w:lineRule="exact"/>
        <w:ind w:firstLine="640"/>
        <w:rPr>
          <w:rFonts w:hint="eastAsia" w:ascii="Times New Roman" w:hAnsi="Times New Roman" w:eastAsia="仿宋_GB2312" w:cs="Times New Roman"/>
          <w:bCs w:val="0"/>
          <w:sz w:val="32"/>
          <w:szCs w:val="32"/>
          <w:highlight w:val="none"/>
          <w:lang w:eastAsia="zh-CN"/>
        </w:rPr>
      </w:pPr>
      <w:r>
        <w:rPr>
          <w:rFonts w:hint="eastAsia" w:ascii="Times New Roman" w:hAnsi="Times New Roman" w:eastAsia="仿宋_GB2312" w:cs="Times New Roman"/>
          <w:sz w:val="32"/>
          <w:szCs w:val="32"/>
          <w:highlight w:val="none"/>
        </w:rPr>
        <w:t>负责</w:t>
      </w:r>
      <w:r>
        <w:rPr>
          <w:rFonts w:hint="eastAsia" w:ascii="Times New Roman" w:hAnsi="Times New Roman" w:eastAsia="仿宋_GB2312" w:cs="Times New Roman"/>
          <w:sz w:val="32"/>
          <w:szCs w:val="32"/>
          <w:highlight w:val="none"/>
          <w:lang w:val="en-US" w:eastAsia="zh-CN"/>
        </w:rPr>
        <w:t>形成</w:t>
      </w:r>
      <w:r>
        <w:rPr>
          <w:rFonts w:hint="eastAsia" w:ascii="Times New Roman" w:hAnsi="Times New Roman" w:eastAsia="仿宋_GB2312" w:cs="Times New Roman"/>
          <w:sz w:val="32"/>
          <w:szCs w:val="32"/>
          <w:highlight w:val="none"/>
        </w:rPr>
        <w:t>结算</w:t>
      </w:r>
      <w:r>
        <w:rPr>
          <w:rFonts w:hint="eastAsia" w:ascii="Times New Roman" w:hAnsi="Times New Roman" w:eastAsia="仿宋_GB2312" w:cs="Times New Roman"/>
          <w:sz w:val="32"/>
          <w:szCs w:val="32"/>
          <w:highlight w:val="none"/>
          <w:lang w:val="en-US" w:eastAsia="zh-CN"/>
        </w:rPr>
        <w:t>依据</w:t>
      </w:r>
      <w:r>
        <w:rPr>
          <w:rFonts w:hint="eastAsia" w:ascii="Times New Roman" w:hAnsi="Times New Roman" w:eastAsia="仿宋_GB2312" w:cs="Times New Roman"/>
          <w:sz w:val="32"/>
          <w:szCs w:val="32"/>
          <w:highlight w:val="none"/>
        </w:rPr>
        <w:t>所需的信息系统的建设、管理、维护</w:t>
      </w:r>
      <w:r>
        <w:rPr>
          <w:rFonts w:hint="eastAsia" w:ascii="Times New Roman" w:hAnsi="Times New Roman" w:eastAsia="仿宋_GB2312" w:cs="Times New Roman"/>
          <w:bCs w:val="0"/>
          <w:sz w:val="32"/>
          <w:szCs w:val="32"/>
          <w:highlight w:val="none"/>
          <w:lang w:val="en-US" w:eastAsia="zh-CN"/>
        </w:rPr>
        <w:t>。</w:t>
      </w:r>
    </w:p>
    <w:p w14:paraId="1665D44A">
      <w:pPr>
        <w:pStyle w:val="17"/>
        <w:numPr>
          <w:ilvl w:val="0"/>
          <w:numId w:val="3"/>
        </w:numPr>
        <w:snapToGrid w:val="0"/>
        <w:spacing w:line="588" w:lineRule="exact"/>
        <w:ind w:firstLine="640"/>
        <w:rPr>
          <w:rFonts w:hint="eastAsia" w:ascii="Times New Roman" w:hAnsi="Times New Roman" w:eastAsia="仿宋_GB2312" w:cs="Times New Roman"/>
          <w:bCs w:val="0"/>
          <w:sz w:val="32"/>
          <w:szCs w:val="32"/>
          <w:highlight w:val="none"/>
        </w:rPr>
      </w:pPr>
      <w:r>
        <w:rPr>
          <w:rFonts w:hint="eastAsia" w:ascii="Times New Roman" w:hAnsi="Times New Roman" w:eastAsia="仿宋_GB2312" w:cs="Times New Roman"/>
          <w:sz w:val="32"/>
          <w:szCs w:val="32"/>
          <w:highlight w:val="none"/>
        </w:rPr>
        <w:t>法律法规、政策文件规定的其他权利与义务。</w:t>
      </w:r>
    </w:p>
    <w:p w14:paraId="71B7FDA9">
      <w:pPr>
        <w:pStyle w:val="18"/>
        <w:numPr>
          <w:ilvl w:val="0"/>
          <w:numId w:val="1"/>
        </w:numPr>
        <w:snapToGrid w:val="0"/>
        <w:spacing w:line="588" w:lineRule="exact"/>
        <w:ind w:left="0" w:firstLine="640" w:firstLineChars="200"/>
        <w:jc w:val="both"/>
        <w:rPr>
          <w:rFonts w:ascii="Times New Roman" w:hAnsi="Times New Roman"/>
          <w:highlight w:val="none"/>
        </w:rPr>
      </w:pPr>
      <w:r>
        <w:rPr>
          <w:rFonts w:ascii="Times New Roman" w:hAnsi="Times New Roman" w:eastAsia="仿宋_GB2312" w:cs="Times New Roman"/>
          <w:bCs/>
          <w:sz w:val="32"/>
          <w:szCs w:val="32"/>
          <w:highlight w:val="none"/>
        </w:rPr>
        <w:t>电力</w:t>
      </w:r>
      <w:r>
        <w:rPr>
          <w:rFonts w:hint="eastAsia" w:ascii="Times New Roman" w:hAnsi="Times New Roman" w:eastAsia="仿宋_GB2312" w:cs="仿宋_GB2312"/>
          <w:sz w:val="32"/>
          <w:szCs w:val="32"/>
          <w:highlight w:val="none"/>
        </w:rPr>
        <w:t>调度</w:t>
      </w:r>
      <w:r>
        <w:rPr>
          <w:rFonts w:ascii="Times New Roman" w:hAnsi="Times New Roman" w:eastAsia="仿宋_GB2312" w:cs="Times New Roman"/>
          <w:bCs/>
          <w:sz w:val="32"/>
          <w:szCs w:val="32"/>
          <w:highlight w:val="none"/>
        </w:rPr>
        <w:t>机构的权利和义务主</w:t>
      </w:r>
      <w:r>
        <w:rPr>
          <w:rFonts w:hint="eastAsia" w:ascii="Times New Roman" w:hAnsi="Times New Roman" w:eastAsia="仿宋_GB2312" w:cs="Times New Roman"/>
          <w:bCs/>
          <w:sz w:val="32"/>
          <w:szCs w:val="32"/>
          <w:highlight w:val="none"/>
        </w:rPr>
        <w:t>要包括：</w:t>
      </w:r>
    </w:p>
    <w:p w14:paraId="06ADEDB3">
      <w:pPr>
        <w:pStyle w:val="17"/>
        <w:numPr>
          <w:ilvl w:val="0"/>
          <w:numId w:val="4"/>
        </w:numPr>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依法依规披露和提供信息，</w:t>
      </w:r>
      <w:r>
        <w:rPr>
          <w:rFonts w:hint="eastAsia" w:ascii="Times New Roman" w:hAnsi="Times New Roman" w:eastAsia="仿宋_GB2312" w:cs="Times New Roman"/>
          <w:sz w:val="32"/>
          <w:szCs w:val="32"/>
          <w:highlight w:val="none"/>
          <w:lang w:eastAsia="zh-CN"/>
        </w:rPr>
        <w:t>负责</w:t>
      </w:r>
      <w:r>
        <w:rPr>
          <w:rFonts w:hint="eastAsia" w:ascii="Times New Roman" w:hAnsi="Times New Roman" w:eastAsia="仿宋_GB2312" w:cs="Times New Roman"/>
          <w:sz w:val="32"/>
          <w:szCs w:val="32"/>
          <w:highlight w:val="none"/>
        </w:rPr>
        <w:t>提供支撑结算所需的相关基础数据，</w:t>
      </w:r>
      <w:r>
        <w:rPr>
          <w:rFonts w:hint="eastAsia" w:ascii="Times New Roman" w:hAnsi="Times New Roman" w:eastAsia="仿宋_GB2312" w:cs="Times New Roman"/>
          <w:sz w:val="32"/>
          <w:szCs w:val="32"/>
          <w:highlight w:val="none"/>
          <w:lang w:eastAsia="zh-CN"/>
        </w:rPr>
        <w:t>确保交互</w:t>
      </w:r>
      <w:r>
        <w:rPr>
          <w:rFonts w:hint="eastAsia" w:ascii="Times New Roman" w:hAnsi="Times New Roman" w:eastAsia="仿宋_GB2312" w:cs="Times New Roman"/>
          <w:sz w:val="32"/>
          <w:szCs w:val="32"/>
          <w:highlight w:val="none"/>
        </w:rPr>
        <w:t>数据的完整性、准确性和及时性。</w:t>
      </w:r>
    </w:p>
    <w:p w14:paraId="5CF56EC3">
      <w:pPr>
        <w:pStyle w:val="17"/>
        <w:numPr>
          <w:ilvl w:val="0"/>
          <w:numId w:val="4"/>
        </w:numPr>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bCs w:val="0"/>
          <w:sz w:val="32"/>
          <w:szCs w:val="32"/>
          <w:highlight w:val="none"/>
        </w:rPr>
        <w:t>负责</w:t>
      </w:r>
      <w:r>
        <w:rPr>
          <w:rFonts w:hint="eastAsia" w:ascii="Times New Roman" w:hAnsi="Times New Roman" w:eastAsia="仿宋_GB2312" w:cs="Times New Roman"/>
          <w:sz w:val="32"/>
          <w:szCs w:val="32"/>
          <w:highlight w:val="none"/>
        </w:rPr>
        <w:t>根据相关规定和规则</w:t>
      </w:r>
      <w:r>
        <w:rPr>
          <w:rFonts w:hint="eastAsia" w:ascii="Times New Roman" w:hAnsi="Times New Roman" w:eastAsia="仿宋_GB2312" w:cs="Times New Roman"/>
          <w:sz w:val="32"/>
          <w:szCs w:val="32"/>
          <w:highlight w:val="none"/>
          <w:lang w:eastAsia="zh-CN"/>
        </w:rPr>
        <w:t>，按时向电力交易机构提供</w:t>
      </w:r>
      <w:r>
        <w:rPr>
          <w:rFonts w:hint="eastAsia" w:ascii="Times New Roman" w:hAnsi="Times New Roman" w:eastAsia="仿宋_GB2312" w:cs="Times New Roman"/>
          <w:sz w:val="32"/>
          <w:szCs w:val="32"/>
          <w:highlight w:val="none"/>
        </w:rPr>
        <w:t>电力辅助服务</w:t>
      </w:r>
      <w:r>
        <w:rPr>
          <w:rFonts w:hint="eastAsia" w:ascii="Times New Roman" w:hAnsi="Times New Roman" w:eastAsia="仿宋_GB2312" w:cs="Times New Roman"/>
          <w:sz w:val="32"/>
          <w:szCs w:val="32"/>
          <w:highlight w:val="none"/>
          <w:lang w:eastAsia="zh-CN"/>
        </w:rPr>
        <w:t>计算</w:t>
      </w:r>
      <w:r>
        <w:rPr>
          <w:rFonts w:hint="eastAsia" w:ascii="Times New Roman" w:hAnsi="Times New Roman" w:eastAsia="仿宋_GB2312" w:cs="Times New Roman"/>
          <w:sz w:val="32"/>
          <w:szCs w:val="32"/>
          <w:highlight w:val="none"/>
        </w:rPr>
        <w:t>结果。</w:t>
      </w:r>
    </w:p>
    <w:p w14:paraId="4AE7AB7D">
      <w:pPr>
        <w:pStyle w:val="17"/>
        <w:numPr>
          <w:ilvl w:val="0"/>
          <w:numId w:val="4"/>
        </w:numPr>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负责结算所需的有关</w:t>
      </w:r>
      <w:r>
        <w:rPr>
          <w:rFonts w:hint="eastAsia" w:ascii="Times New Roman" w:hAnsi="Times New Roman" w:eastAsia="仿宋_GB2312" w:cs="Times New Roman"/>
          <w:sz w:val="32"/>
          <w:szCs w:val="32"/>
          <w:highlight w:val="none"/>
          <w:lang w:val="en-US" w:eastAsia="zh-CN"/>
        </w:rPr>
        <w:t>调度数据</w:t>
      </w:r>
      <w:r>
        <w:rPr>
          <w:rFonts w:ascii="Times New Roman" w:hAnsi="Times New Roman" w:eastAsia="仿宋_GB2312" w:cs="Times New Roman"/>
          <w:sz w:val="32"/>
          <w:szCs w:val="32"/>
          <w:highlight w:val="none"/>
        </w:rPr>
        <w:t>采集管理信息系统</w:t>
      </w:r>
      <w:r>
        <w:rPr>
          <w:rFonts w:hint="eastAsia" w:ascii="Times New Roman" w:hAnsi="Times New Roman" w:eastAsia="仿宋_GB2312" w:cs="Times New Roman"/>
          <w:sz w:val="32"/>
          <w:szCs w:val="32"/>
          <w:highlight w:val="none"/>
        </w:rPr>
        <w:t>的建设、管理、维护。</w:t>
      </w:r>
    </w:p>
    <w:p w14:paraId="14CCDAB4">
      <w:pPr>
        <w:pStyle w:val="17"/>
        <w:numPr>
          <w:ilvl w:val="0"/>
          <w:numId w:val="4"/>
        </w:numPr>
        <w:snapToGrid w:val="0"/>
        <w:spacing w:line="588"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按照有关规定，</w:t>
      </w:r>
      <w:r>
        <w:rPr>
          <w:rFonts w:hint="eastAsia" w:ascii="Times New Roman" w:hAnsi="Times New Roman" w:eastAsia="仿宋_GB2312" w:cs="Times New Roman"/>
          <w:sz w:val="32"/>
          <w:szCs w:val="32"/>
          <w:highlight w:val="none"/>
          <w:lang w:val="en-US" w:eastAsia="zh-CN"/>
        </w:rPr>
        <w:t>对</w:t>
      </w:r>
      <w:r>
        <w:rPr>
          <w:rFonts w:hint="eastAsia" w:ascii="Times New Roman" w:hAnsi="Times New Roman" w:eastAsia="仿宋_GB2312" w:cs="Times New Roman"/>
          <w:sz w:val="32"/>
          <w:szCs w:val="32"/>
          <w:highlight w:val="none"/>
        </w:rPr>
        <w:t>市场经营主体计量结算的信息和数据进行管理。</w:t>
      </w:r>
    </w:p>
    <w:p w14:paraId="0A457121">
      <w:pPr>
        <w:pStyle w:val="17"/>
        <w:numPr>
          <w:ilvl w:val="0"/>
          <w:numId w:val="4"/>
        </w:numPr>
        <w:rPr>
          <w:rFonts w:hint="eastAsia" w:ascii="Times New Roman" w:hAnsi="Times New Roman" w:eastAsia="仿宋_GB2312" w:cs="Times New Roman"/>
          <w:bCs w:val="0"/>
          <w:sz w:val="32"/>
          <w:szCs w:val="32"/>
          <w:highlight w:val="none"/>
        </w:rPr>
      </w:pPr>
      <w:r>
        <w:rPr>
          <w:rFonts w:hint="eastAsia" w:ascii="Times New Roman" w:hAnsi="Times New Roman" w:eastAsia="仿宋_GB2312" w:cs="Times New Roman"/>
          <w:bCs w:val="0"/>
          <w:sz w:val="32"/>
          <w:szCs w:val="32"/>
          <w:highlight w:val="none"/>
          <w:lang w:val="en-US" w:eastAsia="zh-CN"/>
        </w:rPr>
        <w:t>组织</w:t>
      </w:r>
      <w:r>
        <w:rPr>
          <w:rFonts w:hint="eastAsia" w:ascii="Times New Roman" w:hAnsi="Times New Roman" w:eastAsia="仿宋_GB2312" w:cs="Times New Roman"/>
          <w:sz w:val="32"/>
          <w:szCs w:val="32"/>
          <w:highlight w:val="none"/>
        </w:rPr>
        <w:t>协调</w:t>
      </w:r>
      <w:r>
        <w:rPr>
          <w:rFonts w:hint="eastAsia" w:ascii="Times New Roman" w:hAnsi="Times New Roman" w:eastAsia="仿宋_GB2312" w:cs="Times New Roman"/>
          <w:sz w:val="32"/>
          <w:szCs w:val="32"/>
          <w:highlight w:val="none"/>
          <w:lang w:val="en-US" w:eastAsia="zh-CN"/>
        </w:rPr>
        <w:t>电力辅助服务计量</w:t>
      </w:r>
      <w:r>
        <w:rPr>
          <w:rFonts w:hint="eastAsia" w:ascii="Times New Roman" w:hAnsi="Times New Roman" w:eastAsia="仿宋_GB2312" w:cs="Times New Roman"/>
          <w:sz w:val="32"/>
          <w:szCs w:val="32"/>
          <w:highlight w:val="none"/>
        </w:rPr>
        <w:t>结算有关问题</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参与协调结算</w:t>
      </w:r>
      <w:r>
        <w:rPr>
          <w:rFonts w:hint="eastAsia" w:ascii="Times New Roman" w:hAnsi="Times New Roman" w:eastAsia="仿宋_GB2312" w:cs="Times New Roman"/>
          <w:sz w:val="32"/>
          <w:szCs w:val="32"/>
          <w:highlight w:val="none"/>
          <w:lang w:val="en-US" w:eastAsia="zh-CN"/>
        </w:rPr>
        <w:t>依据</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电费结算</w:t>
      </w:r>
      <w:r>
        <w:rPr>
          <w:rFonts w:hint="eastAsia" w:ascii="Times New Roman" w:hAnsi="Times New Roman" w:eastAsia="仿宋_GB2312" w:cs="Times New Roman"/>
          <w:sz w:val="32"/>
          <w:szCs w:val="32"/>
          <w:highlight w:val="none"/>
        </w:rPr>
        <w:t>有关问题。</w:t>
      </w:r>
    </w:p>
    <w:p w14:paraId="3BE21FBD">
      <w:pPr>
        <w:pStyle w:val="17"/>
        <w:numPr>
          <w:ilvl w:val="0"/>
          <w:numId w:val="4"/>
        </w:numPr>
        <w:snapToGrid w:val="0"/>
        <w:spacing w:line="588" w:lineRule="exact"/>
        <w:ind w:firstLine="640"/>
        <w:rPr>
          <w:rFonts w:hint="eastAsia" w:ascii="Times New Roman" w:hAnsi="Times New Roman" w:eastAsia="仿宋_GB2312" w:cs="Times New Roman"/>
          <w:bCs w:val="0"/>
          <w:sz w:val="32"/>
          <w:szCs w:val="32"/>
          <w:highlight w:val="none"/>
        </w:rPr>
      </w:pPr>
      <w:r>
        <w:rPr>
          <w:rFonts w:hint="eastAsia" w:ascii="Times New Roman" w:hAnsi="Times New Roman" w:eastAsia="仿宋_GB2312" w:cs="Times New Roman"/>
          <w:sz w:val="32"/>
          <w:szCs w:val="32"/>
          <w:highlight w:val="none"/>
        </w:rPr>
        <w:t>法律法规、政策文件规定的其他权利与义务。</w:t>
      </w:r>
    </w:p>
    <w:p w14:paraId="3A9ECB93">
      <w:pPr>
        <w:pStyle w:val="18"/>
        <w:numPr>
          <w:ilvl w:val="0"/>
          <w:numId w:val="1"/>
        </w:numPr>
        <w:snapToGrid w:val="0"/>
        <w:spacing w:line="588" w:lineRule="exact"/>
        <w:ind w:left="0" w:firstLine="640" w:firstLineChars="200"/>
        <w:jc w:val="both"/>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电网企业</w:t>
      </w:r>
      <w:r>
        <w:rPr>
          <w:rFonts w:hint="eastAsia" w:ascii="Times New Roman" w:hAnsi="Times New Roman" w:eastAsia="仿宋_GB2312" w:cs="Times New Roman"/>
          <w:bCs/>
          <w:sz w:val="32"/>
          <w:szCs w:val="32"/>
          <w:highlight w:val="none"/>
        </w:rPr>
        <w:t>的</w:t>
      </w:r>
      <w:r>
        <w:rPr>
          <w:rFonts w:ascii="Times New Roman" w:hAnsi="Times New Roman" w:eastAsia="仿宋_GB2312" w:cs="Times New Roman"/>
          <w:bCs/>
          <w:sz w:val="32"/>
          <w:szCs w:val="32"/>
          <w:highlight w:val="none"/>
        </w:rPr>
        <w:t>权利和义务主要包括：</w:t>
      </w:r>
    </w:p>
    <w:p w14:paraId="32C66AAE">
      <w:pPr>
        <w:pStyle w:val="18"/>
        <w:numPr>
          <w:ilvl w:val="255"/>
          <w:numId w:val="0"/>
        </w:numPr>
        <w:snapToGrid w:val="0"/>
        <w:spacing w:line="588" w:lineRule="exact"/>
        <w:ind w:firstLine="640" w:firstLineChars="200"/>
        <w:jc w:val="both"/>
        <w:rPr>
          <w:rFonts w:ascii="Times New Roman" w:hAnsi="Times New Roman"/>
          <w:highlight w:val="none"/>
        </w:rPr>
      </w:pPr>
      <w:r>
        <w:rPr>
          <w:rFonts w:hint="eastAsia" w:ascii="Times New Roman" w:hAnsi="Times New Roman" w:eastAsia="仿宋_GB2312" w:cs="仿宋_GB2312"/>
          <w:sz w:val="32"/>
          <w:szCs w:val="32"/>
          <w:highlight w:val="none"/>
        </w:rPr>
        <w:t>（一）依法依规披露和提供信息，</w:t>
      </w:r>
      <w:r>
        <w:rPr>
          <w:rFonts w:hint="eastAsia" w:ascii="Times New Roman" w:hAnsi="Times New Roman" w:eastAsia="仿宋_GB2312" w:cs="仿宋_GB2312"/>
          <w:sz w:val="32"/>
          <w:szCs w:val="32"/>
          <w:highlight w:val="none"/>
          <w:lang w:eastAsia="zh-CN"/>
        </w:rPr>
        <w:t>负责</w:t>
      </w:r>
      <w:r>
        <w:rPr>
          <w:rFonts w:hint="eastAsia" w:ascii="Times New Roman" w:hAnsi="Times New Roman" w:eastAsia="仿宋_GB2312" w:cs="仿宋_GB2312"/>
          <w:sz w:val="32"/>
          <w:szCs w:val="32"/>
          <w:highlight w:val="none"/>
        </w:rPr>
        <w:t>提供支撑结算所需的相关基础数据，</w:t>
      </w:r>
      <w:r>
        <w:rPr>
          <w:rFonts w:hint="eastAsia" w:ascii="Times New Roman" w:hAnsi="Times New Roman" w:eastAsia="仿宋_GB2312" w:cs="仿宋_GB2312"/>
          <w:sz w:val="32"/>
          <w:szCs w:val="32"/>
          <w:highlight w:val="none"/>
          <w:lang w:eastAsia="zh-CN"/>
        </w:rPr>
        <w:t>确保交互</w:t>
      </w:r>
      <w:r>
        <w:rPr>
          <w:rFonts w:hint="eastAsia" w:ascii="Times New Roman" w:hAnsi="Times New Roman" w:eastAsia="仿宋_GB2312" w:cs="仿宋_GB2312"/>
          <w:sz w:val="32"/>
          <w:szCs w:val="32"/>
          <w:highlight w:val="none"/>
        </w:rPr>
        <w:t>数据的完整性、准确性和及时性。</w:t>
      </w:r>
    </w:p>
    <w:p w14:paraId="3CEEE20D">
      <w:pPr>
        <w:pStyle w:val="17"/>
        <w:snapToGrid w:val="0"/>
        <w:spacing w:line="588" w:lineRule="exact"/>
        <w:ind w:firstLine="640"/>
        <w:rPr>
          <w:rFonts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rPr>
        <w:t>（二）</w:t>
      </w:r>
      <w:r>
        <w:rPr>
          <w:rFonts w:ascii="Times New Roman" w:hAnsi="Times New Roman" w:eastAsia="仿宋_GB2312" w:cs="仿宋_GB2312"/>
          <w:bCs/>
          <w:sz w:val="32"/>
          <w:szCs w:val="32"/>
          <w:highlight w:val="none"/>
        </w:rPr>
        <w:t>负责</w:t>
      </w:r>
      <w:r>
        <w:rPr>
          <w:rFonts w:hint="eastAsia" w:ascii="Times New Roman" w:hAnsi="Times New Roman" w:eastAsia="仿宋_GB2312" w:cs="仿宋_GB2312"/>
          <w:bCs/>
          <w:sz w:val="32"/>
          <w:szCs w:val="32"/>
          <w:highlight w:val="none"/>
          <w:lang w:val="en-US" w:eastAsia="zh-CN"/>
        </w:rPr>
        <w:t>根据电力交易机构推送的结算依据，开展电费结算，按期</w:t>
      </w:r>
      <w:r>
        <w:rPr>
          <w:rFonts w:hint="eastAsia" w:ascii="Times New Roman" w:hAnsi="Times New Roman" w:eastAsia="仿宋_GB2312" w:cs="仿宋_GB2312"/>
          <w:sz w:val="32"/>
          <w:szCs w:val="32"/>
          <w:highlight w:val="none"/>
          <w:lang w:val="en-US" w:eastAsia="zh-CN"/>
        </w:rPr>
        <w:t>向市场经营主体出具电费账单，</w:t>
      </w:r>
      <w:r>
        <w:rPr>
          <w:rFonts w:hint="eastAsia" w:ascii="Times New Roman" w:hAnsi="Times New Roman" w:eastAsia="仿宋_GB2312" w:cs="仿宋_GB2312"/>
          <w:sz w:val="32"/>
          <w:szCs w:val="32"/>
          <w:highlight w:val="none"/>
        </w:rPr>
        <w:t>提供</w:t>
      </w:r>
      <w:r>
        <w:rPr>
          <w:rFonts w:hint="eastAsia" w:ascii="Times New Roman" w:hAnsi="Times New Roman" w:eastAsia="仿宋_GB2312" w:cs="仿宋_GB2312"/>
          <w:sz w:val="32"/>
          <w:szCs w:val="32"/>
          <w:highlight w:val="none"/>
          <w:lang w:eastAsia="zh-CN"/>
        </w:rPr>
        <w:t>电费账单查询等</w:t>
      </w:r>
      <w:r>
        <w:rPr>
          <w:rFonts w:hint="eastAsia" w:ascii="Times New Roman" w:hAnsi="Times New Roman" w:eastAsia="仿宋_GB2312" w:cs="仿宋_GB2312"/>
          <w:sz w:val="32"/>
          <w:szCs w:val="32"/>
          <w:highlight w:val="none"/>
        </w:rPr>
        <w:t>服务</w:t>
      </w:r>
      <w:r>
        <w:rPr>
          <w:rFonts w:hint="eastAsia" w:ascii="Times New Roman" w:hAnsi="Times New Roman" w:eastAsia="仿宋_GB2312" w:cs="仿宋_GB2312"/>
          <w:bCs/>
          <w:sz w:val="32"/>
          <w:szCs w:val="32"/>
          <w:highlight w:val="none"/>
        </w:rPr>
        <w:t>。</w:t>
      </w:r>
    </w:p>
    <w:p w14:paraId="622B49FD">
      <w:pPr>
        <w:pStyle w:val="17"/>
        <w:snapToGrid w:val="0"/>
        <w:spacing w:line="588" w:lineRule="exact"/>
        <w:ind w:firstLine="640"/>
        <w:rPr>
          <w:rFonts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rPr>
        <w:t>（</w:t>
      </w:r>
      <w:r>
        <w:rPr>
          <w:rFonts w:hint="eastAsia" w:ascii="Times New Roman" w:hAnsi="Times New Roman" w:eastAsia="仿宋_GB2312" w:cs="仿宋_GB2312"/>
          <w:bCs/>
          <w:sz w:val="32"/>
          <w:szCs w:val="32"/>
          <w:highlight w:val="none"/>
          <w:lang w:val="en-US" w:eastAsia="zh-CN"/>
        </w:rPr>
        <w:t>三</w:t>
      </w:r>
      <w:r>
        <w:rPr>
          <w:rFonts w:hint="eastAsia" w:ascii="Times New Roman" w:hAnsi="Times New Roman" w:eastAsia="仿宋_GB2312" w:cs="仿宋_GB2312"/>
          <w:bCs/>
          <w:sz w:val="32"/>
          <w:szCs w:val="32"/>
          <w:highlight w:val="none"/>
        </w:rPr>
        <w:t>）</w:t>
      </w:r>
      <w:r>
        <w:rPr>
          <w:rFonts w:hint="eastAsia" w:ascii="Times New Roman" w:hAnsi="Times New Roman" w:eastAsia="仿宋_GB2312" w:cs="仿宋_GB2312"/>
          <w:bCs/>
          <w:sz w:val="32"/>
          <w:szCs w:val="32"/>
          <w:highlight w:val="none"/>
          <w:lang w:val="en-US" w:eastAsia="zh-CN"/>
        </w:rPr>
        <w:t>负责根据电费账单</w:t>
      </w:r>
      <w:r>
        <w:rPr>
          <w:rFonts w:hint="eastAsia" w:ascii="Times New Roman" w:hAnsi="Times New Roman" w:eastAsia="仿宋_GB2312" w:cs="仿宋_GB2312"/>
          <w:bCs/>
          <w:sz w:val="32"/>
          <w:szCs w:val="32"/>
          <w:highlight w:val="none"/>
        </w:rPr>
        <w:t>按时</w:t>
      </w:r>
      <w:r>
        <w:rPr>
          <w:rFonts w:ascii="Times New Roman" w:hAnsi="Times New Roman" w:eastAsia="仿宋_GB2312" w:cs="仿宋_GB2312"/>
          <w:bCs/>
          <w:sz w:val="32"/>
          <w:szCs w:val="32"/>
          <w:highlight w:val="none"/>
        </w:rPr>
        <w:t>完成电费</w:t>
      </w:r>
      <w:r>
        <w:rPr>
          <w:rFonts w:hint="eastAsia" w:ascii="Times New Roman" w:hAnsi="Times New Roman" w:eastAsia="仿宋_GB2312" w:cs="仿宋_GB2312"/>
          <w:bCs/>
          <w:sz w:val="32"/>
          <w:szCs w:val="32"/>
          <w:highlight w:val="none"/>
        </w:rPr>
        <w:t>收付，并向发生付款违约的</w:t>
      </w:r>
      <w:r>
        <w:rPr>
          <w:rFonts w:hint="eastAsia" w:ascii="Times New Roman" w:hAnsi="Times New Roman" w:eastAsia="仿宋_GB2312" w:cs="仿宋_GB2312"/>
          <w:bCs/>
          <w:sz w:val="32"/>
          <w:szCs w:val="32"/>
          <w:highlight w:val="none"/>
          <w:lang w:val="en-US" w:eastAsia="zh-CN"/>
        </w:rPr>
        <w:t>市场</w:t>
      </w:r>
      <w:r>
        <w:rPr>
          <w:rFonts w:hint="eastAsia" w:ascii="Times New Roman" w:hAnsi="Times New Roman" w:eastAsia="仿宋_GB2312" w:cs="仿宋_GB2312"/>
          <w:bCs/>
          <w:sz w:val="32"/>
          <w:szCs w:val="32"/>
          <w:highlight w:val="none"/>
        </w:rPr>
        <w:t>经营主体催缴欠款</w:t>
      </w:r>
      <w:r>
        <w:rPr>
          <w:rFonts w:hint="eastAsia" w:ascii="Times New Roman" w:hAnsi="Times New Roman" w:eastAsia="仿宋_GB2312" w:cs="仿宋_GB2312"/>
          <w:bCs/>
          <w:sz w:val="32"/>
          <w:szCs w:val="32"/>
          <w:highlight w:val="none"/>
          <w:lang w:eastAsia="zh-CN"/>
        </w:rPr>
        <w:t>。</w:t>
      </w:r>
      <w:r>
        <w:rPr>
          <w:rFonts w:hint="eastAsia" w:ascii="Times New Roman" w:hAnsi="Times New Roman" w:eastAsia="仿宋_GB2312" w:cs="仿宋_GB2312"/>
          <w:bCs/>
          <w:sz w:val="32"/>
          <w:szCs w:val="32"/>
          <w:highlight w:val="none"/>
        </w:rPr>
        <w:t>对于逾期仍未全额付款</w:t>
      </w:r>
      <w:r>
        <w:rPr>
          <w:rFonts w:hint="eastAsia" w:ascii="Times New Roman" w:hAnsi="Times New Roman" w:eastAsia="仿宋_GB2312" w:cs="仿宋_GB2312"/>
          <w:bCs/>
          <w:sz w:val="32"/>
          <w:szCs w:val="32"/>
          <w:highlight w:val="none"/>
          <w:lang w:eastAsia="zh-CN"/>
        </w:rPr>
        <w:t>市场经营主体</w:t>
      </w:r>
      <w:r>
        <w:rPr>
          <w:rFonts w:hint="eastAsia" w:ascii="Times New Roman" w:hAnsi="Times New Roman" w:eastAsia="仿宋_GB2312" w:cs="仿宋_GB2312"/>
          <w:bCs/>
          <w:sz w:val="32"/>
          <w:szCs w:val="32"/>
          <w:highlight w:val="none"/>
        </w:rPr>
        <w:t>，向电力交易机构提出履约保函、保险的使用申请。</w:t>
      </w:r>
    </w:p>
    <w:p w14:paraId="734EDF80">
      <w:pPr>
        <w:pStyle w:val="17"/>
        <w:snapToGrid w:val="0"/>
        <w:spacing w:line="588" w:lineRule="exact"/>
        <w:ind w:firstLine="640"/>
        <w:rPr>
          <w:rFonts w:hint="eastAsia" w:ascii="Times New Roman" w:hAnsi="Times New Roman" w:eastAsia="仿宋_GB2312" w:cs="仿宋_GB2312"/>
          <w:bCs/>
          <w:sz w:val="32"/>
          <w:szCs w:val="32"/>
          <w:highlight w:val="none"/>
          <w:lang w:eastAsia="zh-CN"/>
        </w:rPr>
      </w:pPr>
      <w:r>
        <w:rPr>
          <w:rFonts w:hint="eastAsia" w:ascii="Times New Roman" w:hAnsi="Times New Roman" w:eastAsia="仿宋_GB2312" w:cs="仿宋_GB2312"/>
          <w:bCs/>
          <w:sz w:val="32"/>
          <w:szCs w:val="32"/>
          <w:highlight w:val="none"/>
        </w:rPr>
        <w:t>（</w:t>
      </w:r>
      <w:r>
        <w:rPr>
          <w:rFonts w:hint="eastAsia" w:ascii="Times New Roman" w:hAnsi="Times New Roman" w:eastAsia="仿宋_GB2312" w:cs="仿宋_GB2312"/>
          <w:bCs/>
          <w:sz w:val="32"/>
          <w:szCs w:val="32"/>
          <w:highlight w:val="none"/>
          <w:lang w:val="en-US" w:eastAsia="zh-CN"/>
        </w:rPr>
        <w:t>四</w:t>
      </w:r>
      <w:r>
        <w:rPr>
          <w:rFonts w:hint="eastAsia" w:ascii="Times New Roman" w:hAnsi="Times New Roman" w:eastAsia="仿宋_GB2312" w:cs="仿宋_GB2312"/>
          <w:bCs/>
          <w:sz w:val="32"/>
          <w:szCs w:val="32"/>
          <w:highlight w:val="none"/>
        </w:rPr>
        <w:t>）</w:t>
      </w:r>
      <w:r>
        <w:rPr>
          <w:rFonts w:ascii="Times New Roman" w:hAnsi="Times New Roman" w:eastAsia="仿宋_GB2312" w:cs="Times New Roman"/>
          <w:bCs/>
          <w:sz w:val="32"/>
          <w:szCs w:val="32"/>
          <w:highlight w:val="none"/>
        </w:rPr>
        <w:t>负责</w:t>
      </w:r>
      <w:r>
        <w:rPr>
          <w:rFonts w:hint="eastAsia" w:ascii="Times New Roman" w:hAnsi="Times New Roman" w:eastAsia="仿宋_GB2312" w:cs="Times New Roman"/>
          <w:bCs/>
          <w:sz w:val="32"/>
          <w:szCs w:val="32"/>
          <w:highlight w:val="none"/>
          <w:lang w:val="en-US" w:eastAsia="zh-CN"/>
        </w:rPr>
        <w:t>电费结算相关的</w:t>
      </w:r>
      <w:r>
        <w:rPr>
          <w:rFonts w:hint="eastAsia" w:ascii="Times New Roman" w:hAnsi="Times New Roman" w:eastAsia="仿宋_GB2312" w:cs="Times New Roman"/>
          <w:bCs/>
          <w:sz w:val="32"/>
          <w:szCs w:val="32"/>
          <w:highlight w:val="none"/>
          <w:lang w:eastAsia="zh-CN"/>
        </w:rPr>
        <w:t>信息化系统</w:t>
      </w:r>
      <w:r>
        <w:rPr>
          <w:rFonts w:hint="eastAsia" w:ascii="Times New Roman" w:hAnsi="Times New Roman" w:eastAsia="仿宋_GB2312" w:cs="仿宋_GB2312"/>
          <w:sz w:val="32"/>
          <w:szCs w:val="32"/>
          <w:highlight w:val="none"/>
        </w:rPr>
        <w:t>的建设、管理、维护</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Times New Roman"/>
          <w:sz w:val="32"/>
          <w:szCs w:val="32"/>
          <w:highlight w:val="none"/>
        </w:rPr>
        <w:t>向</w:t>
      </w:r>
      <w:r>
        <w:rPr>
          <w:rFonts w:hint="eastAsia" w:ascii="Times New Roman" w:hAnsi="Times New Roman" w:eastAsia="仿宋_GB2312" w:cs="Times New Roman"/>
          <w:sz w:val="32"/>
          <w:szCs w:val="32"/>
          <w:highlight w:val="none"/>
          <w:lang w:val="en-US" w:eastAsia="zh-CN"/>
        </w:rPr>
        <w:t>市场</w:t>
      </w:r>
      <w:r>
        <w:rPr>
          <w:rFonts w:hint="eastAsia" w:ascii="Times New Roman" w:hAnsi="Times New Roman" w:eastAsia="仿宋_GB2312" w:cs="Times New Roman"/>
          <w:sz w:val="32"/>
          <w:szCs w:val="32"/>
          <w:highlight w:val="none"/>
        </w:rPr>
        <w:t>经营主体</w:t>
      </w:r>
      <w:r>
        <w:rPr>
          <w:rFonts w:hint="eastAsia" w:ascii="Times New Roman" w:hAnsi="Times New Roman" w:eastAsia="仿宋_GB2312" w:cs="仿宋_GB2312"/>
          <w:sz w:val="32"/>
          <w:szCs w:val="32"/>
          <w:highlight w:val="none"/>
          <w:lang w:eastAsia="zh-CN"/>
        </w:rPr>
        <w:t>提供</w:t>
      </w:r>
      <w:r>
        <w:rPr>
          <w:rFonts w:hint="eastAsia" w:ascii="Times New Roman" w:hAnsi="Times New Roman" w:eastAsia="仿宋_GB2312" w:cs="仿宋_GB2312"/>
          <w:sz w:val="32"/>
          <w:szCs w:val="32"/>
          <w:highlight w:val="none"/>
        </w:rPr>
        <w:t>相关电能数据</w:t>
      </w:r>
      <w:r>
        <w:rPr>
          <w:rFonts w:hint="eastAsia" w:ascii="Times New Roman" w:hAnsi="Times New Roman" w:eastAsia="仿宋_GB2312" w:cs="仿宋_GB2312"/>
          <w:sz w:val="32"/>
          <w:szCs w:val="32"/>
          <w:highlight w:val="none"/>
          <w:lang w:eastAsia="zh-CN"/>
        </w:rPr>
        <w:t>查询服务，并将</w:t>
      </w:r>
      <w:r>
        <w:rPr>
          <w:rFonts w:hint="eastAsia" w:ascii="Times New Roman" w:hAnsi="Times New Roman" w:eastAsia="仿宋_GB2312" w:cs="仿宋_GB2312"/>
          <w:sz w:val="32"/>
          <w:szCs w:val="32"/>
          <w:highlight w:val="none"/>
        </w:rPr>
        <w:t>电能数据</w:t>
      </w:r>
      <w:r>
        <w:rPr>
          <w:rFonts w:hint="eastAsia" w:ascii="Times New Roman" w:hAnsi="Times New Roman" w:eastAsia="仿宋_GB2312" w:cs="仿宋_GB2312"/>
          <w:sz w:val="32"/>
          <w:szCs w:val="32"/>
          <w:highlight w:val="none"/>
          <w:lang w:eastAsia="zh-CN"/>
        </w:rPr>
        <w:t>推送电力交易平台，配合电力交易机构做好售电公司数据查询和下载服务。</w:t>
      </w:r>
    </w:p>
    <w:p w14:paraId="10ED8D4D">
      <w:pPr>
        <w:pStyle w:val="17"/>
        <w:snapToGrid w:val="0"/>
        <w:spacing w:line="588" w:lineRule="exact"/>
        <w:ind w:firstLine="640"/>
        <w:rPr>
          <w:rFonts w:ascii="Times New Roman" w:hAnsi="Times New Roman" w:eastAsia="仿宋_GB2312" w:cs="仿宋_GB2312"/>
          <w:bCs/>
          <w:sz w:val="32"/>
          <w:szCs w:val="32"/>
          <w:highlight w:val="none"/>
        </w:rPr>
      </w:pPr>
      <w:r>
        <w:rPr>
          <w:rFonts w:ascii="Times New Roman" w:hAnsi="Times New Roman" w:eastAsia="仿宋_GB2312" w:cs="仿宋_GB2312"/>
          <w:bCs/>
          <w:sz w:val="32"/>
          <w:szCs w:val="32"/>
          <w:highlight w:val="none"/>
        </w:rPr>
        <w:t>（</w:t>
      </w:r>
      <w:r>
        <w:rPr>
          <w:rFonts w:hint="eastAsia" w:ascii="Times New Roman" w:hAnsi="Times New Roman" w:eastAsia="仿宋_GB2312" w:cs="仿宋_GB2312"/>
          <w:bCs/>
          <w:sz w:val="32"/>
          <w:szCs w:val="32"/>
          <w:highlight w:val="none"/>
          <w:lang w:eastAsia="zh-CN"/>
        </w:rPr>
        <w:t>五</w:t>
      </w:r>
      <w:r>
        <w:rPr>
          <w:rFonts w:ascii="Times New Roman" w:hAnsi="Times New Roman" w:eastAsia="仿宋_GB2312" w:cs="仿宋_GB2312"/>
          <w:bCs/>
          <w:sz w:val="32"/>
          <w:szCs w:val="32"/>
          <w:highlight w:val="none"/>
        </w:rPr>
        <w:t>）</w:t>
      </w:r>
      <w:r>
        <w:rPr>
          <w:rFonts w:hint="eastAsia" w:ascii="Times New Roman" w:hAnsi="Times New Roman" w:eastAsia="仿宋_GB2312" w:cs="仿宋_GB2312"/>
          <w:sz w:val="32"/>
          <w:szCs w:val="32"/>
          <w:highlight w:val="none"/>
          <w:lang w:val="en-US" w:eastAsia="zh-CN"/>
        </w:rPr>
        <w:t>组织协调计量和电费</w:t>
      </w:r>
      <w:r>
        <w:rPr>
          <w:rFonts w:hint="eastAsia" w:ascii="Times New Roman" w:hAnsi="Times New Roman" w:eastAsia="仿宋_GB2312" w:cs="仿宋_GB2312"/>
          <w:sz w:val="32"/>
          <w:szCs w:val="32"/>
          <w:highlight w:val="none"/>
        </w:rPr>
        <w:t>结算有关问题</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参与协调结算依据有关问题</w:t>
      </w:r>
      <w:r>
        <w:rPr>
          <w:rFonts w:hint="eastAsia" w:ascii="Times New Roman" w:hAnsi="Times New Roman" w:eastAsia="仿宋_GB2312" w:cs="Times New Roman"/>
          <w:sz w:val="32"/>
          <w:szCs w:val="32"/>
          <w:highlight w:val="none"/>
        </w:rPr>
        <w:t>。</w:t>
      </w:r>
    </w:p>
    <w:p w14:paraId="6D481A05">
      <w:pPr>
        <w:pStyle w:val="17"/>
        <w:snapToGrid w:val="0"/>
        <w:spacing w:line="588" w:lineRule="exact"/>
        <w:ind w:firstLine="64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六</w:t>
      </w:r>
      <w:r>
        <w:rPr>
          <w:rFonts w:hint="eastAsia" w:ascii="Times New Roman" w:hAnsi="Times New Roman" w:eastAsia="仿宋_GB2312" w:cs="Times New Roman"/>
          <w:sz w:val="32"/>
          <w:szCs w:val="32"/>
          <w:highlight w:val="none"/>
        </w:rPr>
        <w:t>）法律法规、政策文件规定的其他权利与义务。</w:t>
      </w:r>
    </w:p>
    <w:p w14:paraId="1D4F9DFA">
      <w:pPr>
        <w:snapToGrid w:val="0"/>
        <w:spacing w:line="588" w:lineRule="exact"/>
        <w:jc w:val="center"/>
        <w:outlineLvl w:val="0"/>
        <w:rPr>
          <w:rFonts w:hint="eastAsia" w:ascii="Times New Roman" w:hAnsi="Times New Roman" w:eastAsia="黑体" w:cs="黑体"/>
          <w:sz w:val="32"/>
          <w:szCs w:val="32"/>
          <w:highlight w:val="none"/>
        </w:rPr>
      </w:pPr>
      <w:bookmarkStart w:id="53" w:name="_Toc19439"/>
      <w:bookmarkStart w:id="54" w:name="_Toc9735"/>
      <w:bookmarkStart w:id="55" w:name="_Toc32613"/>
      <w:bookmarkStart w:id="56" w:name="_Toc32412"/>
      <w:bookmarkStart w:id="57" w:name="_Toc12829"/>
      <w:bookmarkStart w:id="58" w:name="_Toc26927"/>
      <w:bookmarkStart w:id="59" w:name="_Toc8480"/>
      <w:bookmarkStart w:id="60" w:name="_Toc26577"/>
      <w:bookmarkStart w:id="61" w:name="_Toc24962"/>
      <w:bookmarkStart w:id="62" w:name="_Toc16898"/>
      <w:bookmarkStart w:id="63" w:name="_Toc21515"/>
      <w:bookmarkStart w:id="64" w:name="_Toc31151"/>
      <w:bookmarkStart w:id="65" w:name="_Toc6440"/>
      <w:bookmarkStart w:id="66" w:name="_Toc15947"/>
      <w:bookmarkStart w:id="67" w:name="_Toc25431"/>
      <w:bookmarkStart w:id="68" w:name="_Toc19681"/>
    </w:p>
    <w:p w14:paraId="0E94CE8A">
      <w:pPr>
        <w:snapToGrid w:val="0"/>
        <w:spacing w:line="588" w:lineRule="exact"/>
        <w:jc w:val="center"/>
        <w:outlineLvl w:val="0"/>
        <w:rPr>
          <w:rFonts w:ascii="Times New Roman" w:hAnsi="Times New Roman" w:eastAsia="黑体" w:cs="黑体"/>
          <w:sz w:val="32"/>
          <w:szCs w:val="32"/>
          <w:highlight w:val="none"/>
        </w:rPr>
      </w:pPr>
      <w:bookmarkStart w:id="69" w:name="_Toc6362"/>
      <w:bookmarkStart w:id="70" w:name="_Toc23797"/>
      <w:bookmarkStart w:id="71" w:name="_Toc6442"/>
      <w:bookmarkStart w:id="72" w:name="_Toc27008"/>
      <w:bookmarkStart w:id="73" w:name="_Toc4917"/>
      <w:bookmarkStart w:id="74" w:name="_Toc31549"/>
      <w:bookmarkStart w:id="75" w:name="_Toc6095"/>
      <w:bookmarkStart w:id="76" w:name="_Toc12126"/>
      <w:bookmarkStart w:id="77" w:name="_Toc26308"/>
      <w:r>
        <w:rPr>
          <w:rFonts w:hint="eastAsia" w:ascii="Times New Roman" w:hAnsi="Times New Roman" w:eastAsia="黑体" w:cs="黑体"/>
          <w:sz w:val="32"/>
          <w:szCs w:val="32"/>
          <w:highlight w:val="none"/>
        </w:rPr>
        <w:t>第</w:t>
      </w:r>
      <w:r>
        <w:rPr>
          <w:rFonts w:hint="eastAsia" w:ascii="Times New Roman" w:hAnsi="Times New Roman" w:eastAsia="黑体" w:cs="黑体"/>
          <w:sz w:val="32"/>
          <w:szCs w:val="32"/>
          <w:highlight w:val="none"/>
          <w:lang w:val="en-US" w:eastAsia="zh-CN"/>
        </w:rPr>
        <w:t>三</w:t>
      </w:r>
      <w:r>
        <w:rPr>
          <w:rFonts w:hint="eastAsia" w:ascii="Times New Roman" w:hAnsi="Times New Roman" w:eastAsia="黑体" w:cs="黑体"/>
          <w:sz w:val="32"/>
          <w:szCs w:val="32"/>
          <w:highlight w:val="none"/>
        </w:rPr>
        <w:t>章 计量管理</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31D7C3DE">
      <w:pPr>
        <w:snapToGrid w:val="0"/>
        <w:spacing w:line="588" w:lineRule="exact"/>
        <w:jc w:val="center"/>
        <w:outlineLvl w:val="1"/>
        <w:rPr>
          <w:rFonts w:ascii="Times New Roman" w:hAnsi="Times New Roman" w:eastAsia="楷体_GB2312" w:cs="Times New Roman"/>
          <w:sz w:val="32"/>
          <w:szCs w:val="32"/>
          <w:highlight w:val="none"/>
        </w:rPr>
      </w:pPr>
      <w:bookmarkStart w:id="78" w:name="_Toc29091"/>
      <w:bookmarkStart w:id="79" w:name="_Toc28115"/>
      <w:bookmarkStart w:id="80" w:name="_Toc26783"/>
      <w:bookmarkStart w:id="81" w:name="_Toc6722"/>
      <w:bookmarkStart w:id="82" w:name="_Toc30620"/>
      <w:bookmarkStart w:id="83" w:name="_Toc2467"/>
      <w:bookmarkStart w:id="84" w:name="_Toc18175"/>
      <w:bookmarkStart w:id="85" w:name="_Toc13718"/>
      <w:bookmarkStart w:id="86" w:name="_Toc19087"/>
      <w:bookmarkStart w:id="87" w:name="_Toc9383"/>
      <w:bookmarkStart w:id="88" w:name="_Toc22253"/>
      <w:bookmarkStart w:id="89" w:name="_Toc26066"/>
      <w:bookmarkStart w:id="90" w:name="_Toc20511"/>
      <w:bookmarkStart w:id="91" w:name="_Toc29841"/>
      <w:bookmarkStart w:id="92" w:name="_Toc17978"/>
      <w:bookmarkStart w:id="93" w:name="_Toc31837"/>
      <w:bookmarkStart w:id="94" w:name="_Toc23389"/>
      <w:bookmarkStart w:id="95" w:name="_Toc25469"/>
      <w:bookmarkStart w:id="96" w:name="_Toc29473"/>
      <w:bookmarkStart w:id="97" w:name="_Toc23601"/>
      <w:bookmarkStart w:id="98" w:name="_Toc4322"/>
      <w:bookmarkStart w:id="99" w:name="_Toc10053"/>
      <w:bookmarkStart w:id="100" w:name="_Toc26000"/>
      <w:bookmarkStart w:id="101" w:name="_Toc18904"/>
      <w:bookmarkStart w:id="102" w:name="_Toc9502"/>
      <w:r>
        <w:rPr>
          <w:rFonts w:ascii="Times New Roman" w:hAnsi="Times New Roman" w:eastAsia="楷体_GB2312" w:cs="Times New Roman"/>
          <w:sz w:val="32"/>
          <w:szCs w:val="32"/>
          <w:highlight w:val="none"/>
          <w:lang w:val="zh-CN"/>
        </w:rPr>
        <w:t>第</w:t>
      </w:r>
      <w:r>
        <w:rPr>
          <w:rFonts w:hint="eastAsia" w:ascii="Times New Roman" w:hAnsi="Times New Roman" w:eastAsia="楷体_GB2312" w:cs="Times New Roman"/>
          <w:sz w:val="32"/>
          <w:szCs w:val="32"/>
          <w:highlight w:val="none"/>
        </w:rPr>
        <w:t>一</w:t>
      </w:r>
      <w:r>
        <w:rPr>
          <w:rFonts w:ascii="Times New Roman" w:hAnsi="Times New Roman" w:eastAsia="楷体_GB2312" w:cs="Times New Roman"/>
          <w:sz w:val="32"/>
          <w:szCs w:val="32"/>
          <w:highlight w:val="none"/>
          <w:lang w:val="zh-CN"/>
        </w:rPr>
        <w:t xml:space="preserve">节 </w:t>
      </w:r>
      <w:r>
        <w:rPr>
          <w:rFonts w:hint="eastAsia" w:ascii="Times New Roman" w:hAnsi="Times New Roman" w:eastAsia="楷体_GB2312" w:cs="Times New Roman"/>
          <w:sz w:val="32"/>
          <w:szCs w:val="32"/>
          <w:highlight w:val="none"/>
        </w:rPr>
        <w:t>计量装置管理</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7C85C62E">
      <w:pPr>
        <w:pStyle w:val="18"/>
        <w:numPr>
          <w:ilvl w:val="0"/>
          <w:numId w:val="1"/>
        </w:numPr>
        <w:tabs>
          <w:tab w:val="clear" w:pos="1429"/>
        </w:tabs>
        <w:snapToGrid w:val="0"/>
        <w:spacing w:line="588" w:lineRule="exact"/>
        <w:ind w:left="0" w:firstLine="640" w:firstLineChars="200"/>
        <w:jc w:val="both"/>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lang w:val="en-US" w:eastAsia="zh-CN"/>
        </w:rPr>
        <w:t>市场</w:t>
      </w:r>
      <w:r>
        <w:rPr>
          <w:rFonts w:hint="eastAsia" w:ascii="Times New Roman" w:hAnsi="Times New Roman" w:eastAsia="仿宋_GB2312" w:cs="仿宋_GB2312"/>
          <w:bCs/>
          <w:sz w:val="32"/>
          <w:szCs w:val="32"/>
          <w:highlight w:val="none"/>
        </w:rPr>
        <w:t>经营主体应</w:t>
      </w:r>
      <w:r>
        <w:rPr>
          <w:rFonts w:hint="eastAsia" w:ascii="Times New Roman" w:hAnsi="Times New Roman" w:eastAsia="仿宋_GB2312" w:cs="仿宋_GB2312"/>
          <w:bCs/>
          <w:sz w:val="32"/>
          <w:szCs w:val="32"/>
          <w:highlight w:val="none"/>
          <w:lang w:val="en-US" w:eastAsia="zh-CN"/>
        </w:rPr>
        <w:t>当具备独立计量条件，安装</w:t>
      </w:r>
      <w:r>
        <w:rPr>
          <w:rFonts w:hint="eastAsia" w:ascii="Times New Roman" w:hAnsi="Times New Roman" w:eastAsia="仿宋_GB2312" w:cs="仿宋_GB2312"/>
          <w:bCs/>
          <w:sz w:val="32"/>
          <w:szCs w:val="32"/>
          <w:highlight w:val="none"/>
        </w:rPr>
        <w:t>符合国家标准的计量装置，</w:t>
      </w:r>
      <w:r>
        <w:rPr>
          <w:rFonts w:hint="eastAsia" w:ascii="Times New Roman" w:hAnsi="Times New Roman" w:eastAsia="仿宋_GB2312" w:cs="仿宋_GB2312"/>
          <w:bCs/>
          <w:sz w:val="32"/>
          <w:szCs w:val="32"/>
          <w:highlight w:val="none"/>
          <w:lang w:val="en-US" w:eastAsia="zh-CN"/>
        </w:rPr>
        <w:t>由计量检测机构检定后投入使用</w:t>
      </w:r>
      <w:r>
        <w:rPr>
          <w:rFonts w:hint="eastAsia" w:ascii="Times New Roman" w:hAnsi="Times New Roman" w:eastAsia="仿宋_GB2312" w:cs="仿宋_GB2312"/>
          <w:bCs/>
          <w:sz w:val="32"/>
          <w:szCs w:val="32"/>
          <w:highlight w:val="none"/>
        </w:rPr>
        <w:t>。电网企业应根据市场运行需要为</w:t>
      </w:r>
      <w:r>
        <w:rPr>
          <w:rFonts w:hint="eastAsia" w:ascii="Times New Roman" w:hAnsi="Times New Roman" w:eastAsia="仿宋_GB2312" w:cs="仿宋_GB2312"/>
          <w:bCs/>
          <w:sz w:val="32"/>
          <w:szCs w:val="32"/>
          <w:highlight w:val="none"/>
          <w:lang w:val="en-US" w:eastAsia="zh-CN"/>
        </w:rPr>
        <w:t>市场</w:t>
      </w:r>
      <w:r>
        <w:rPr>
          <w:rFonts w:hint="eastAsia" w:ascii="Times New Roman" w:hAnsi="Times New Roman" w:eastAsia="仿宋_GB2312" w:cs="仿宋_GB2312"/>
          <w:bCs/>
          <w:sz w:val="32"/>
          <w:szCs w:val="32"/>
          <w:highlight w:val="none"/>
        </w:rPr>
        <w:t>经营主体及时配置、安装符合要求的</w:t>
      </w:r>
      <w:r>
        <w:rPr>
          <w:rFonts w:hint="eastAsia" w:ascii="Times New Roman" w:hAnsi="Times New Roman" w:eastAsia="仿宋_GB2312" w:cs="仿宋_GB2312"/>
          <w:bCs/>
          <w:sz w:val="32"/>
          <w:szCs w:val="32"/>
          <w:highlight w:val="none"/>
          <w:lang w:val="en-US" w:eastAsia="zh-CN"/>
        </w:rPr>
        <w:t>电能表计</w:t>
      </w:r>
      <w:r>
        <w:rPr>
          <w:rFonts w:hint="eastAsia" w:ascii="Times New Roman" w:hAnsi="Times New Roman" w:eastAsia="仿宋_GB2312" w:cs="仿宋_GB2312"/>
          <w:bCs/>
          <w:sz w:val="32"/>
          <w:szCs w:val="32"/>
          <w:highlight w:val="none"/>
        </w:rPr>
        <w:t>。</w:t>
      </w:r>
    </w:p>
    <w:p w14:paraId="71C171D6">
      <w:pPr>
        <w:pStyle w:val="18"/>
        <w:numPr>
          <w:ilvl w:val="0"/>
          <w:numId w:val="1"/>
        </w:numPr>
        <w:tabs>
          <w:tab w:val="clear" w:pos="1429"/>
        </w:tabs>
        <w:snapToGrid w:val="0"/>
        <w:spacing w:line="588" w:lineRule="exact"/>
        <w:ind w:firstLine="640" w:firstLineChars="200"/>
        <w:jc w:val="both"/>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 w:val="0"/>
          <w:bCs/>
          <w:sz w:val="32"/>
          <w:szCs w:val="32"/>
          <w:highlight w:val="none"/>
          <w:lang w:val="en-US" w:eastAsia="zh-CN"/>
        </w:rPr>
        <w:t>电能量计量装置原则上安装在产权分界点，产权分界点无法安装计量装置的，电网企业应在与市场经营主体协商明确计量装置安装位置后，依据相关规定确定相应的变（线）损，参与结算的关口计量点应在购售电合同、供用电合同等合同中予以明确。</w:t>
      </w:r>
    </w:p>
    <w:p w14:paraId="713CCF84">
      <w:pPr>
        <w:pStyle w:val="18"/>
        <w:numPr>
          <w:ilvl w:val="0"/>
          <w:numId w:val="1"/>
        </w:numPr>
        <w:tabs>
          <w:tab w:val="clear" w:pos="1429"/>
        </w:tabs>
        <w:snapToGrid w:val="0"/>
        <w:spacing w:line="588" w:lineRule="exact"/>
        <w:ind w:firstLine="640" w:firstLineChars="200"/>
        <w:jc w:val="both"/>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rPr>
        <w:t>电网企业应</w:t>
      </w:r>
      <w:r>
        <w:rPr>
          <w:rFonts w:hint="eastAsia" w:ascii="Times New Roman" w:hAnsi="Times New Roman" w:eastAsia="仿宋_GB2312" w:cs="仿宋_GB2312"/>
          <w:bCs/>
          <w:sz w:val="32"/>
          <w:szCs w:val="32"/>
          <w:highlight w:val="none"/>
          <w:lang w:val="en-US" w:eastAsia="zh-CN"/>
        </w:rPr>
        <w:t>安装采集通信设备，建设计量自动化系统，实现计量装置的远程采集，满足电力市场计量结算数据需求和计量装置日常监控维护要求，采集终端、通信装置和智能电能表应满足国家和行业相关技术标准要求。</w:t>
      </w:r>
    </w:p>
    <w:p w14:paraId="441E284A">
      <w:pPr>
        <w:pStyle w:val="18"/>
        <w:numPr>
          <w:ilvl w:val="0"/>
          <w:numId w:val="1"/>
        </w:numPr>
        <w:tabs>
          <w:tab w:val="clear" w:pos="1429"/>
        </w:tabs>
        <w:snapToGrid w:val="0"/>
        <w:spacing w:line="588" w:lineRule="exact"/>
        <w:ind w:left="0" w:firstLine="640" w:firstLineChars="200"/>
        <w:jc w:val="both"/>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lang w:val="en-US" w:eastAsia="zh-CN"/>
        </w:rPr>
        <w:t>计量点设置需满足电力市场结算最小结算单元相关要求，不满足要求的需要征得市场经营主体同意后</w:t>
      </w:r>
      <w:r>
        <w:rPr>
          <w:rFonts w:hint="eastAsia" w:ascii="Times New Roman" w:hAnsi="Times New Roman" w:eastAsia="仿宋_GB2312" w:cs="仿宋_GB2312"/>
          <w:bCs/>
          <w:sz w:val="32"/>
          <w:szCs w:val="32"/>
          <w:highlight w:val="none"/>
        </w:rPr>
        <w:t>在</w:t>
      </w:r>
      <w:r>
        <w:rPr>
          <w:rFonts w:hint="eastAsia" w:ascii="Times New Roman" w:hAnsi="Times New Roman" w:eastAsia="仿宋_GB2312" w:cs="仿宋_GB2312"/>
          <w:bCs/>
          <w:sz w:val="32"/>
          <w:szCs w:val="32"/>
          <w:highlight w:val="none"/>
          <w:lang w:eastAsia="zh-CN"/>
        </w:rPr>
        <w:t>购售电</w:t>
      </w:r>
      <w:r>
        <w:rPr>
          <w:rFonts w:hint="eastAsia" w:ascii="Times New Roman" w:hAnsi="Times New Roman" w:eastAsia="仿宋_GB2312" w:cs="仿宋_GB2312"/>
          <w:bCs/>
          <w:sz w:val="32"/>
          <w:szCs w:val="32"/>
          <w:highlight w:val="none"/>
          <w:lang w:val="en-US" w:eastAsia="zh-CN"/>
        </w:rPr>
        <w:t>合同</w:t>
      </w:r>
      <w:r>
        <w:rPr>
          <w:rFonts w:hint="eastAsia" w:ascii="Times New Roman" w:hAnsi="Times New Roman" w:eastAsia="仿宋_GB2312" w:cs="仿宋_GB2312"/>
          <w:bCs/>
          <w:sz w:val="32"/>
          <w:szCs w:val="32"/>
          <w:highlight w:val="none"/>
          <w:lang w:eastAsia="zh-CN"/>
        </w:rPr>
        <w:t>、供用电</w:t>
      </w:r>
      <w:r>
        <w:rPr>
          <w:rFonts w:hint="eastAsia" w:ascii="Times New Roman" w:hAnsi="Times New Roman" w:eastAsia="仿宋_GB2312" w:cs="仿宋_GB2312"/>
          <w:bCs/>
          <w:sz w:val="32"/>
          <w:szCs w:val="32"/>
          <w:highlight w:val="none"/>
          <w:lang w:val="en-US" w:eastAsia="zh-CN"/>
        </w:rPr>
        <w:t>合同</w:t>
      </w:r>
      <w:r>
        <w:rPr>
          <w:rFonts w:hint="eastAsia" w:ascii="Times New Roman" w:hAnsi="Times New Roman" w:eastAsia="仿宋_GB2312" w:cs="仿宋_GB2312"/>
          <w:bCs/>
          <w:sz w:val="32"/>
          <w:szCs w:val="32"/>
          <w:highlight w:val="none"/>
          <w:lang w:eastAsia="zh-CN"/>
        </w:rPr>
        <w:t>等</w:t>
      </w:r>
      <w:r>
        <w:rPr>
          <w:rFonts w:hint="eastAsia" w:ascii="Times New Roman" w:hAnsi="Times New Roman" w:eastAsia="仿宋_GB2312" w:cs="仿宋_GB2312"/>
          <w:bCs/>
          <w:sz w:val="32"/>
          <w:szCs w:val="32"/>
          <w:highlight w:val="none"/>
        </w:rPr>
        <w:t>合同中明确结算单元电量分配方式</w:t>
      </w:r>
      <w:r>
        <w:rPr>
          <w:rFonts w:hint="eastAsia" w:ascii="Times New Roman" w:hAnsi="Times New Roman" w:eastAsia="仿宋_GB2312" w:cs="仿宋_GB2312"/>
          <w:bCs/>
          <w:sz w:val="32"/>
          <w:szCs w:val="32"/>
          <w:highlight w:val="none"/>
          <w:lang w:val="en-US" w:eastAsia="zh-CN"/>
        </w:rPr>
        <w:t>。</w:t>
      </w:r>
    </w:p>
    <w:p w14:paraId="14A8A6AE">
      <w:pPr>
        <w:snapToGrid w:val="0"/>
        <w:spacing w:line="588" w:lineRule="exact"/>
        <w:jc w:val="center"/>
        <w:outlineLvl w:val="1"/>
        <w:rPr>
          <w:rFonts w:ascii="Times New Roman" w:hAnsi="Times New Roman" w:eastAsia="楷体_GB2312" w:cs="Times New Roman"/>
          <w:sz w:val="32"/>
          <w:szCs w:val="32"/>
          <w:highlight w:val="none"/>
        </w:rPr>
      </w:pPr>
      <w:bookmarkStart w:id="103" w:name="_Toc17805"/>
      <w:bookmarkStart w:id="104" w:name="_Toc14814"/>
      <w:bookmarkStart w:id="105" w:name="_Toc26213"/>
      <w:bookmarkStart w:id="106" w:name="_Toc1413"/>
      <w:bookmarkStart w:id="107" w:name="_Toc29837"/>
      <w:bookmarkStart w:id="108" w:name="_Toc3917"/>
      <w:bookmarkStart w:id="109" w:name="_Toc2045"/>
      <w:bookmarkStart w:id="110" w:name="_Toc8399"/>
      <w:bookmarkStart w:id="111" w:name="_Toc31099"/>
      <w:bookmarkStart w:id="112" w:name="_Toc18792"/>
      <w:bookmarkStart w:id="113" w:name="_Toc21004"/>
      <w:bookmarkStart w:id="114" w:name="_Toc25340"/>
      <w:bookmarkStart w:id="115" w:name="_Toc18312"/>
      <w:bookmarkStart w:id="116" w:name="_Toc12431"/>
      <w:bookmarkStart w:id="117" w:name="_Toc10926"/>
      <w:bookmarkStart w:id="118" w:name="_Toc19650"/>
      <w:bookmarkStart w:id="119" w:name="_Toc892"/>
      <w:bookmarkStart w:id="120" w:name="_Toc5866"/>
      <w:bookmarkStart w:id="121" w:name="_Toc21354"/>
      <w:bookmarkStart w:id="122" w:name="_Toc19773"/>
      <w:bookmarkStart w:id="123" w:name="_Toc15651"/>
      <w:bookmarkStart w:id="124" w:name="_Toc8759"/>
      <w:bookmarkStart w:id="125" w:name="_Toc28628"/>
      <w:bookmarkStart w:id="126" w:name="_Toc21954"/>
      <w:bookmarkStart w:id="127" w:name="_Toc20758"/>
      <w:r>
        <w:rPr>
          <w:rFonts w:ascii="Times New Roman" w:hAnsi="Times New Roman" w:eastAsia="楷体_GB2312" w:cs="Times New Roman"/>
          <w:sz w:val="32"/>
          <w:szCs w:val="32"/>
          <w:highlight w:val="none"/>
          <w:lang w:val="zh-CN"/>
        </w:rPr>
        <w:t>第</w:t>
      </w:r>
      <w:r>
        <w:rPr>
          <w:rFonts w:hint="eastAsia" w:ascii="Times New Roman" w:hAnsi="Times New Roman" w:eastAsia="楷体_GB2312" w:cs="Times New Roman"/>
          <w:sz w:val="32"/>
          <w:szCs w:val="32"/>
          <w:highlight w:val="none"/>
        </w:rPr>
        <w:t>二</w:t>
      </w:r>
      <w:r>
        <w:rPr>
          <w:rFonts w:ascii="Times New Roman" w:hAnsi="Times New Roman" w:eastAsia="楷体_GB2312" w:cs="Times New Roman"/>
          <w:sz w:val="32"/>
          <w:szCs w:val="32"/>
          <w:highlight w:val="none"/>
          <w:lang w:val="zh-CN"/>
        </w:rPr>
        <w:t xml:space="preserve">节 </w:t>
      </w:r>
      <w:r>
        <w:rPr>
          <w:rFonts w:hint="eastAsia" w:ascii="Times New Roman" w:hAnsi="Times New Roman" w:eastAsia="楷体_GB2312" w:cs="Times New Roman"/>
          <w:sz w:val="32"/>
          <w:szCs w:val="32"/>
          <w:highlight w:val="none"/>
        </w:rPr>
        <w:t>计量数据管理</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2626B016">
      <w:pPr>
        <w:pStyle w:val="18"/>
        <w:numPr>
          <w:ilvl w:val="0"/>
          <w:numId w:val="1"/>
        </w:numPr>
        <w:snapToGrid w:val="0"/>
        <w:spacing w:line="588" w:lineRule="exact"/>
        <w:ind w:left="0" w:firstLine="640" w:firstLineChars="200"/>
        <w:jc w:val="both"/>
        <w:rPr>
          <w:rFonts w:ascii="Times New Roman" w:hAnsi="Times New Roman" w:eastAsia="仿宋_GB2312" w:cs="Times New Roman"/>
          <w:bCs/>
          <w:sz w:val="32"/>
          <w:szCs w:val="32"/>
          <w:highlight w:val="none"/>
        </w:rPr>
      </w:pPr>
      <w:r>
        <w:rPr>
          <w:rFonts w:hint="eastAsia" w:ascii="Times New Roman" w:hAnsi="Times New Roman" w:eastAsia="仿宋_GB2312" w:cs="Times New Roman"/>
          <w:bCs/>
          <w:sz w:val="32"/>
          <w:szCs w:val="32"/>
          <w:highlight w:val="none"/>
        </w:rPr>
        <w:t>计量数据应</w:t>
      </w:r>
      <w:r>
        <w:rPr>
          <w:rFonts w:hint="eastAsia" w:ascii="Times New Roman" w:hAnsi="Times New Roman" w:eastAsia="仿宋_GB2312" w:cs="Times New Roman"/>
          <w:bCs/>
          <w:sz w:val="32"/>
          <w:szCs w:val="32"/>
          <w:highlight w:val="none"/>
          <w:lang w:val="en-US" w:eastAsia="zh-CN"/>
        </w:rPr>
        <w:t>按</w:t>
      </w:r>
      <w:r>
        <w:rPr>
          <w:rFonts w:hint="eastAsia" w:ascii="Times New Roman" w:hAnsi="Times New Roman" w:eastAsia="仿宋_GB2312" w:cs="Times New Roman"/>
          <w:bCs/>
          <w:sz w:val="32"/>
          <w:szCs w:val="32"/>
          <w:highlight w:val="none"/>
        </w:rPr>
        <w:t>满足结算最小时段和周期的要求，</w:t>
      </w:r>
      <w:r>
        <w:rPr>
          <w:rFonts w:ascii="Times New Roman" w:hAnsi="Times New Roman" w:eastAsia="仿宋_GB2312" w:cs="Times New Roman"/>
          <w:bCs/>
          <w:sz w:val="32"/>
          <w:szCs w:val="32"/>
          <w:highlight w:val="none"/>
        </w:rPr>
        <w:t>统一设置抄表计划</w:t>
      </w:r>
      <w:r>
        <w:rPr>
          <w:rFonts w:hint="eastAsia" w:ascii="Times New Roman" w:hAnsi="Times New Roman" w:eastAsia="仿宋_GB2312" w:cs="Times New Roman"/>
          <w:bCs/>
          <w:sz w:val="32"/>
          <w:szCs w:val="32"/>
          <w:highlight w:val="none"/>
        </w:rPr>
        <w:t>，实现发用同期抄表</w:t>
      </w:r>
      <w:r>
        <w:rPr>
          <w:rFonts w:hint="eastAsia" w:ascii="Times New Roman" w:hAnsi="Times New Roman" w:eastAsia="仿宋_GB2312" w:cs="Times New Roman"/>
          <w:bCs/>
          <w:sz w:val="32"/>
          <w:szCs w:val="32"/>
          <w:highlight w:val="none"/>
          <w:lang w:val="en-US" w:eastAsia="zh-CN"/>
        </w:rPr>
        <w:t>和</w:t>
      </w:r>
      <w:r>
        <w:rPr>
          <w:rFonts w:hint="eastAsia" w:ascii="Times New Roman" w:hAnsi="Times New Roman" w:eastAsia="仿宋_GB2312" w:cs="Times New Roman"/>
          <w:bCs/>
          <w:sz w:val="32"/>
          <w:szCs w:val="32"/>
          <w:highlight w:val="none"/>
        </w:rPr>
        <w:t>定期抄录。电网企业</w:t>
      </w:r>
      <w:r>
        <w:rPr>
          <w:rFonts w:hint="eastAsia" w:ascii="Times New Roman" w:hAnsi="Times New Roman" w:eastAsia="仿宋_GB2312" w:cs="Times New Roman"/>
          <w:bCs/>
          <w:sz w:val="32"/>
          <w:szCs w:val="32"/>
          <w:highlight w:val="none"/>
          <w:lang w:val="en-US" w:eastAsia="zh-CN"/>
        </w:rPr>
        <w:t>及电力调度机构</w:t>
      </w:r>
      <w:r>
        <w:rPr>
          <w:rFonts w:hint="eastAsia" w:ascii="Times New Roman" w:hAnsi="Times New Roman" w:eastAsia="仿宋_GB2312" w:cs="Times New Roman"/>
          <w:bCs/>
          <w:sz w:val="32"/>
          <w:szCs w:val="32"/>
          <w:highlight w:val="none"/>
        </w:rPr>
        <w:t>应根据</w:t>
      </w:r>
      <w:r>
        <w:rPr>
          <w:rFonts w:hint="eastAsia" w:ascii="Times New Roman" w:hAnsi="Times New Roman" w:eastAsia="仿宋_GB2312" w:cs="Times New Roman"/>
          <w:bCs/>
          <w:sz w:val="32"/>
          <w:szCs w:val="32"/>
          <w:highlight w:val="none"/>
          <w:lang w:val="en-US" w:eastAsia="zh-CN"/>
        </w:rPr>
        <w:t>市场</w:t>
      </w:r>
      <w:r>
        <w:rPr>
          <w:rFonts w:hint="eastAsia" w:ascii="Times New Roman" w:hAnsi="Times New Roman" w:eastAsia="仿宋_GB2312" w:cs="Times New Roman"/>
          <w:bCs/>
          <w:sz w:val="32"/>
          <w:szCs w:val="32"/>
          <w:highlight w:val="none"/>
        </w:rPr>
        <w:t>经营主体询问及争议，对计量数据问题分类管理，并按规定处理。</w:t>
      </w:r>
    </w:p>
    <w:p w14:paraId="23B6D464">
      <w:pPr>
        <w:pStyle w:val="18"/>
        <w:numPr>
          <w:ilvl w:val="0"/>
          <w:numId w:val="1"/>
        </w:numPr>
        <w:snapToGrid w:val="0"/>
        <w:spacing w:line="588" w:lineRule="exact"/>
        <w:ind w:left="0" w:firstLine="640" w:firstLineChars="200"/>
        <w:jc w:val="both"/>
        <w:rPr>
          <w:rFonts w:ascii="Times New Roman" w:hAnsi="Times New Roman" w:eastAsia="仿宋_GB2312" w:cs="Times New Roman"/>
          <w:bCs/>
          <w:sz w:val="32"/>
          <w:szCs w:val="32"/>
          <w:highlight w:val="none"/>
        </w:rPr>
      </w:pPr>
      <w:r>
        <w:rPr>
          <w:rFonts w:hint="eastAsia" w:ascii="Times New Roman" w:hAnsi="Times New Roman" w:eastAsia="仿宋_GB2312" w:cs="Times New Roman"/>
          <w:bCs/>
          <w:sz w:val="32"/>
          <w:szCs w:val="32"/>
          <w:highlight w:val="none"/>
          <w:lang w:val="en-US" w:eastAsia="zh-CN"/>
        </w:rPr>
        <w:t>参与市场的</w:t>
      </w:r>
      <w:r>
        <w:rPr>
          <w:rFonts w:ascii="Times New Roman" w:hAnsi="Times New Roman" w:eastAsia="仿宋_GB2312" w:cs="Times New Roman"/>
          <w:bCs/>
          <w:sz w:val="32"/>
          <w:szCs w:val="32"/>
          <w:highlight w:val="none"/>
        </w:rPr>
        <w:t>发电</w:t>
      </w:r>
      <w:r>
        <w:rPr>
          <w:rFonts w:hint="eastAsia" w:ascii="Times New Roman" w:hAnsi="Times New Roman" w:eastAsia="仿宋_GB2312" w:cs="Times New Roman"/>
          <w:bCs/>
          <w:sz w:val="32"/>
          <w:szCs w:val="32"/>
          <w:highlight w:val="none"/>
          <w:lang w:val="en-US" w:eastAsia="zh-CN"/>
        </w:rPr>
        <w:t>企业</w:t>
      </w:r>
      <w:r>
        <w:rPr>
          <w:rFonts w:hint="eastAsia" w:ascii="Times New Roman" w:hAnsi="Times New Roman" w:eastAsia="仿宋_GB2312" w:cs="Times New Roman"/>
          <w:bCs/>
          <w:sz w:val="32"/>
          <w:szCs w:val="32"/>
          <w:highlight w:val="none"/>
        </w:rPr>
        <w:t>、</w:t>
      </w:r>
      <w:r>
        <w:rPr>
          <w:rFonts w:ascii="Times New Roman" w:hAnsi="Times New Roman" w:eastAsia="仿宋_GB2312" w:cs="Times New Roman"/>
          <w:bCs/>
          <w:sz w:val="32"/>
          <w:szCs w:val="32"/>
          <w:highlight w:val="none"/>
        </w:rPr>
        <w:t>电力用户关口计量点电量数据</w:t>
      </w:r>
      <w:r>
        <w:rPr>
          <w:rFonts w:hint="eastAsia" w:ascii="Times New Roman" w:hAnsi="Times New Roman" w:eastAsia="仿宋_GB2312" w:cs="Times New Roman"/>
          <w:bCs/>
          <w:sz w:val="32"/>
          <w:szCs w:val="32"/>
          <w:highlight w:val="none"/>
          <w:lang w:val="en-US" w:eastAsia="zh-CN"/>
        </w:rPr>
        <w:t>、</w:t>
      </w:r>
      <w:r>
        <w:rPr>
          <w:rFonts w:hint="eastAsia" w:ascii="Times New Roman" w:hAnsi="Times New Roman" w:eastAsia="仿宋_GB2312" w:cs="Times New Roman"/>
          <w:bCs/>
          <w:sz w:val="32"/>
          <w:szCs w:val="32"/>
          <w:highlight w:val="none"/>
        </w:rPr>
        <w:t>电力辅助服务数据</w:t>
      </w:r>
      <w:r>
        <w:rPr>
          <w:rFonts w:ascii="Times New Roman" w:hAnsi="Times New Roman" w:eastAsia="仿宋_GB2312" w:cs="Times New Roman"/>
          <w:bCs/>
          <w:sz w:val="32"/>
          <w:szCs w:val="32"/>
          <w:highlight w:val="none"/>
        </w:rPr>
        <w:t>根据计量装置确定，电网企业</w:t>
      </w:r>
      <w:r>
        <w:rPr>
          <w:rFonts w:hint="eastAsia" w:ascii="Times New Roman" w:hAnsi="Times New Roman" w:eastAsia="仿宋_GB2312" w:cs="Times New Roman"/>
          <w:bCs/>
          <w:sz w:val="32"/>
          <w:szCs w:val="32"/>
          <w:highlight w:val="none"/>
        </w:rPr>
        <w:t>和电力调度机构</w:t>
      </w:r>
      <w:r>
        <w:rPr>
          <w:rFonts w:hint="eastAsia" w:ascii="Times New Roman" w:hAnsi="Times New Roman" w:eastAsia="仿宋_GB2312" w:cs="Times New Roman"/>
          <w:bCs/>
          <w:sz w:val="32"/>
          <w:szCs w:val="32"/>
          <w:highlight w:val="none"/>
          <w:lang w:val="en-US" w:eastAsia="zh-CN"/>
        </w:rPr>
        <w:t>应</w:t>
      </w:r>
      <w:r>
        <w:rPr>
          <w:rFonts w:ascii="Times New Roman" w:hAnsi="Times New Roman" w:eastAsia="仿宋_GB2312" w:cs="Times New Roman"/>
          <w:bCs/>
          <w:sz w:val="32"/>
          <w:szCs w:val="32"/>
          <w:highlight w:val="none"/>
        </w:rPr>
        <w:t>保证计量数据准确、完整</w:t>
      </w:r>
      <w:r>
        <w:rPr>
          <w:rFonts w:hint="eastAsia" w:ascii="Times New Roman" w:hAnsi="Times New Roman" w:eastAsia="仿宋_GB2312" w:cs="Times New Roman"/>
          <w:bCs/>
          <w:sz w:val="32"/>
          <w:szCs w:val="32"/>
          <w:highlight w:val="none"/>
        </w:rPr>
        <w:t>，</w:t>
      </w:r>
      <w:r>
        <w:rPr>
          <w:rFonts w:ascii="Times New Roman" w:hAnsi="Times New Roman" w:eastAsia="仿宋_GB2312" w:cs="Times New Roman"/>
          <w:bCs/>
          <w:sz w:val="32"/>
          <w:szCs w:val="32"/>
          <w:highlight w:val="none"/>
        </w:rPr>
        <w:t>并按结算时序要求传输</w:t>
      </w:r>
      <w:r>
        <w:rPr>
          <w:rFonts w:hint="eastAsia" w:ascii="Times New Roman" w:hAnsi="Times New Roman" w:eastAsia="仿宋_GB2312" w:cs="Times New Roman"/>
          <w:bCs/>
          <w:sz w:val="32"/>
          <w:szCs w:val="32"/>
          <w:highlight w:val="none"/>
          <w:lang w:val="en-US" w:eastAsia="zh-CN"/>
        </w:rPr>
        <w:t>至</w:t>
      </w:r>
      <w:r>
        <w:rPr>
          <w:rFonts w:ascii="Times New Roman" w:hAnsi="Times New Roman" w:eastAsia="仿宋_GB2312" w:cs="Times New Roman"/>
          <w:bCs/>
          <w:sz w:val="32"/>
          <w:szCs w:val="32"/>
          <w:highlight w:val="none"/>
        </w:rPr>
        <w:t xml:space="preserve">电力交易机构。 </w:t>
      </w:r>
    </w:p>
    <w:p w14:paraId="271692AD">
      <w:pPr>
        <w:keepNext w:val="0"/>
        <w:keepLines w:val="0"/>
        <w:widowControl/>
        <w:numPr>
          <w:ilvl w:val="0"/>
          <w:numId w:val="5"/>
        </w:numPr>
        <w:suppressLineNumbers w:val="0"/>
        <w:ind w:firstLine="640" w:firstLineChars="200"/>
        <w:jc w:val="both"/>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省间及省内现货市场运行的地区，电网企业（电力调度机构）应每日提供前1日省间输电通道和发电企业的计量数据。非现货市场运行地区，调度机构（电网企业）应于每月1日提供发电企业的月度计量数据。</w:t>
      </w:r>
    </w:p>
    <w:p w14:paraId="2EC6E157">
      <w:pPr>
        <w:widowControl/>
        <w:numPr>
          <w:ilvl w:val="0"/>
          <w:numId w:val="0"/>
        </w:numPr>
        <w:ind w:firstLine="640"/>
        <w:rPr>
          <w:rFonts w:ascii="Times New Roman" w:hAnsi="Times New Roman"/>
        </w:rPr>
      </w:pPr>
      <w:r>
        <w:rPr>
          <w:rFonts w:hint="eastAsia" w:ascii="Times New Roman" w:hAnsi="Times New Roman" w:eastAsia="仿宋_GB2312" w:cs="仿宋_GB2312"/>
          <w:color w:val="000000"/>
          <w:kern w:val="0"/>
          <w:sz w:val="32"/>
          <w:szCs w:val="32"/>
          <w:lang w:val="en-US" w:eastAsia="zh-CN" w:bidi="ar"/>
        </w:rPr>
        <w:t>（二）电网企业原则上应于每月第1个工作日内将用户侧的月度抄表电量数据提供电力交易机构。中长期连续运营、开展分时段交易以及现货市场、辅助服务市场运行的省份，应按照市场规则明确的时限要求，将用户侧分时电量提供至电力交易机构。</w:t>
      </w:r>
    </w:p>
    <w:p w14:paraId="33588E4F">
      <w:pPr>
        <w:pStyle w:val="18"/>
        <w:numPr>
          <w:ilvl w:val="0"/>
          <w:numId w:val="1"/>
        </w:numPr>
        <w:snapToGrid w:val="0"/>
        <w:spacing w:line="588" w:lineRule="exact"/>
        <w:ind w:left="0" w:firstLine="640" w:firstLineChars="200"/>
        <w:jc w:val="both"/>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当计量</w:t>
      </w:r>
      <w:r>
        <w:rPr>
          <w:rFonts w:hint="eastAsia" w:ascii="Times New Roman" w:hAnsi="Times New Roman" w:eastAsia="仿宋_GB2312" w:cs="Times New Roman"/>
          <w:bCs/>
          <w:sz w:val="32"/>
          <w:szCs w:val="32"/>
          <w:highlight w:val="none"/>
          <w:lang w:val="en-US" w:eastAsia="zh-CN"/>
        </w:rPr>
        <w:t>装置</w:t>
      </w:r>
      <w:r>
        <w:rPr>
          <w:rFonts w:ascii="Times New Roman" w:hAnsi="Times New Roman" w:eastAsia="仿宋_GB2312" w:cs="Times New Roman"/>
          <w:bCs/>
          <w:sz w:val="32"/>
          <w:szCs w:val="32"/>
          <w:highlight w:val="none"/>
        </w:rPr>
        <w:t>数据缺失、错误或不可用时，电网企业</w:t>
      </w:r>
      <w:r>
        <w:rPr>
          <w:rFonts w:hint="eastAsia" w:ascii="Times New Roman" w:hAnsi="Times New Roman" w:eastAsia="仿宋_GB2312" w:cs="Times New Roman"/>
          <w:bCs/>
          <w:sz w:val="32"/>
          <w:szCs w:val="32"/>
          <w:highlight w:val="none"/>
        </w:rPr>
        <w:t>或电力调度机构</w:t>
      </w:r>
      <w:r>
        <w:rPr>
          <w:rFonts w:hint="eastAsia" w:ascii="Times New Roman" w:hAnsi="Times New Roman" w:eastAsia="仿宋_GB2312" w:cs="Times New Roman"/>
          <w:bCs/>
          <w:sz w:val="32"/>
          <w:szCs w:val="32"/>
          <w:highlight w:val="none"/>
          <w:lang w:val="en-US" w:eastAsia="zh-CN"/>
        </w:rPr>
        <w:t>应</w:t>
      </w:r>
      <w:r>
        <w:rPr>
          <w:rFonts w:hint="eastAsia" w:ascii="Times New Roman" w:hAnsi="Times New Roman" w:eastAsia="仿宋_GB2312" w:cs="Times New Roman"/>
          <w:bCs/>
          <w:sz w:val="32"/>
          <w:szCs w:val="32"/>
          <w:highlight w:val="none"/>
          <w:lang w:val="en-US" w:eastAsia="zh-CN"/>
        </w:rPr>
        <w:t>开展</w:t>
      </w:r>
      <w:r>
        <w:rPr>
          <w:rFonts w:hint="eastAsia" w:ascii="Times New Roman" w:hAnsi="Times New Roman" w:eastAsia="仿宋_GB2312" w:cs="Times New Roman"/>
          <w:bCs/>
          <w:sz w:val="32"/>
          <w:szCs w:val="32"/>
          <w:highlight w:val="none"/>
          <w:lang w:val="en-US" w:eastAsia="zh-CN"/>
        </w:rPr>
        <w:t>消缺、补采，重新提供至电力交易机构。</w:t>
      </w:r>
      <w:r>
        <w:rPr>
          <w:rFonts w:hint="eastAsia" w:ascii="Times New Roman" w:hAnsi="Times New Roman" w:eastAsia="仿宋_GB2312" w:cs="Times New Roman"/>
          <w:bCs/>
          <w:sz w:val="32"/>
          <w:szCs w:val="32"/>
          <w:highlight w:val="none"/>
          <w:lang w:val="en-US" w:eastAsia="zh-CN"/>
        </w:rPr>
        <w:t>电力交易机构在下一结算周期进行结算调整</w:t>
      </w:r>
      <w:r>
        <w:rPr>
          <w:rFonts w:hint="eastAsia" w:ascii="Times New Roman" w:hAnsi="Times New Roman" w:eastAsia="仿宋_GB2312" w:cs="Times New Roman"/>
          <w:bCs/>
          <w:sz w:val="32"/>
          <w:szCs w:val="32"/>
          <w:highlight w:val="none"/>
          <w:lang w:eastAsia="zh-CN"/>
        </w:rPr>
        <w:t>。</w:t>
      </w:r>
    </w:p>
    <w:p w14:paraId="59C3A5F2">
      <w:pPr>
        <w:snapToGrid w:val="0"/>
        <w:spacing w:line="588" w:lineRule="exact"/>
        <w:jc w:val="center"/>
        <w:outlineLvl w:val="0"/>
        <w:rPr>
          <w:rFonts w:hint="eastAsia" w:ascii="Times New Roman" w:hAnsi="Times New Roman" w:eastAsia="黑体" w:cs="黑体"/>
          <w:sz w:val="32"/>
          <w:szCs w:val="32"/>
          <w:highlight w:val="none"/>
        </w:rPr>
      </w:pPr>
      <w:bookmarkStart w:id="128" w:name="_Toc18854"/>
      <w:bookmarkStart w:id="129" w:name="_Toc6371"/>
      <w:bookmarkStart w:id="130" w:name="_Toc22175"/>
      <w:bookmarkStart w:id="131" w:name="_Toc5215"/>
      <w:bookmarkStart w:id="132" w:name="_Toc3613"/>
      <w:bookmarkStart w:id="133" w:name="_Toc21748"/>
      <w:bookmarkStart w:id="134" w:name="_Toc16786"/>
      <w:bookmarkStart w:id="135" w:name="_Toc17657"/>
      <w:bookmarkStart w:id="136" w:name="_Toc20950"/>
      <w:bookmarkStart w:id="137" w:name="_Toc23842"/>
      <w:bookmarkStart w:id="138" w:name="_Toc21449"/>
      <w:bookmarkStart w:id="139" w:name="_Toc11551"/>
      <w:bookmarkStart w:id="140" w:name="_Toc19566"/>
      <w:bookmarkStart w:id="141" w:name="_Toc27864"/>
      <w:bookmarkStart w:id="142" w:name="_Toc28286"/>
    </w:p>
    <w:p w14:paraId="232208C8">
      <w:pPr>
        <w:snapToGrid w:val="0"/>
        <w:spacing w:line="588" w:lineRule="exact"/>
        <w:jc w:val="center"/>
        <w:outlineLvl w:val="0"/>
        <w:rPr>
          <w:rFonts w:hint="eastAsia" w:ascii="Times New Roman" w:hAnsi="Times New Roman" w:eastAsia="黑体" w:cs="黑体"/>
          <w:sz w:val="32"/>
          <w:szCs w:val="32"/>
          <w:highlight w:val="none"/>
          <w:lang w:val="en-US" w:eastAsia="zh-CN"/>
        </w:rPr>
      </w:pPr>
      <w:bookmarkStart w:id="143" w:name="_Toc13708"/>
      <w:bookmarkStart w:id="144" w:name="_Toc14302"/>
      <w:bookmarkStart w:id="145" w:name="_Toc1475"/>
      <w:bookmarkStart w:id="146" w:name="_Toc3054"/>
      <w:bookmarkStart w:id="147" w:name="_Toc24471"/>
      <w:bookmarkStart w:id="148" w:name="_Toc30097"/>
      <w:bookmarkStart w:id="149" w:name="_Toc22493"/>
      <w:bookmarkStart w:id="150" w:name="_Toc9473"/>
      <w:bookmarkStart w:id="151" w:name="_Toc16060"/>
      <w:r>
        <w:rPr>
          <w:rFonts w:hint="eastAsia" w:ascii="Times New Roman" w:hAnsi="Times New Roman" w:eastAsia="黑体" w:cs="黑体"/>
          <w:sz w:val="32"/>
          <w:szCs w:val="32"/>
          <w:highlight w:val="none"/>
        </w:rPr>
        <w:t>第</w:t>
      </w:r>
      <w:r>
        <w:rPr>
          <w:rFonts w:hint="eastAsia" w:ascii="Times New Roman" w:hAnsi="Times New Roman" w:eastAsia="黑体" w:cs="黑体"/>
          <w:sz w:val="32"/>
          <w:szCs w:val="32"/>
          <w:highlight w:val="none"/>
          <w:lang w:val="en-US" w:eastAsia="zh-CN"/>
        </w:rPr>
        <w:t>四</w:t>
      </w:r>
      <w:r>
        <w:rPr>
          <w:rFonts w:hint="eastAsia" w:ascii="Times New Roman" w:hAnsi="Times New Roman" w:eastAsia="黑体" w:cs="黑体"/>
          <w:sz w:val="32"/>
          <w:szCs w:val="32"/>
          <w:highlight w:val="none"/>
        </w:rPr>
        <w:t>章 结算</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Pr>
          <w:rFonts w:hint="eastAsia" w:ascii="Times New Roman" w:hAnsi="Times New Roman" w:eastAsia="黑体" w:cs="黑体"/>
          <w:sz w:val="32"/>
          <w:szCs w:val="32"/>
          <w:highlight w:val="none"/>
          <w:lang w:val="en-US" w:eastAsia="zh-CN"/>
        </w:rPr>
        <w:t>管理</w:t>
      </w:r>
      <w:bookmarkEnd w:id="148"/>
      <w:bookmarkEnd w:id="149"/>
      <w:bookmarkEnd w:id="150"/>
      <w:bookmarkEnd w:id="151"/>
    </w:p>
    <w:p w14:paraId="34B8C05A">
      <w:pPr>
        <w:snapToGrid w:val="0"/>
        <w:spacing w:line="588" w:lineRule="exact"/>
        <w:jc w:val="center"/>
        <w:outlineLvl w:val="1"/>
        <w:rPr>
          <w:rFonts w:hint="default" w:ascii="Times New Roman" w:hAnsi="Times New Roman" w:eastAsia="楷体_GB2312" w:cs="Times New Roman"/>
          <w:sz w:val="32"/>
          <w:szCs w:val="32"/>
          <w:highlight w:val="none"/>
          <w:lang w:val="en-US" w:eastAsia="zh-CN"/>
        </w:rPr>
      </w:pPr>
      <w:bookmarkStart w:id="152" w:name="_Toc14915"/>
      <w:bookmarkStart w:id="153" w:name="_Toc16878"/>
      <w:bookmarkStart w:id="154" w:name="_Toc10806"/>
      <w:bookmarkStart w:id="155" w:name="_Toc989"/>
      <w:bookmarkStart w:id="156" w:name="_Toc980"/>
      <w:bookmarkStart w:id="157" w:name="_Toc12815"/>
      <w:bookmarkStart w:id="158" w:name="_Toc9984"/>
      <w:bookmarkStart w:id="159" w:name="_Toc2835"/>
      <w:bookmarkStart w:id="160" w:name="_Toc7016"/>
      <w:bookmarkStart w:id="161" w:name="_Toc18825"/>
      <w:bookmarkStart w:id="162" w:name="_Toc32535"/>
      <w:bookmarkStart w:id="163" w:name="_Toc20045"/>
      <w:bookmarkStart w:id="164" w:name="_Toc15623"/>
      <w:bookmarkStart w:id="165" w:name="_Toc17707"/>
      <w:bookmarkStart w:id="166" w:name="_Toc10894"/>
      <w:bookmarkStart w:id="167" w:name="_Toc30009"/>
      <w:bookmarkStart w:id="168" w:name="_Toc26711"/>
      <w:r>
        <w:rPr>
          <w:rFonts w:hint="eastAsia" w:ascii="Times New Roman" w:hAnsi="Times New Roman" w:eastAsia="楷体_GB2312" w:cs="Times New Roman"/>
          <w:sz w:val="32"/>
          <w:szCs w:val="32"/>
          <w:highlight w:val="none"/>
        </w:rPr>
        <w:t xml:space="preserve">第一节 </w:t>
      </w:r>
      <w:r>
        <w:rPr>
          <w:rFonts w:hint="eastAsia" w:ascii="Times New Roman" w:hAnsi="Times New Roman" w:eastAsia="楷体_GB2312" w:cs="Times New Roman"/>
          <w:sz w:val="32"/>
          <w:szCs w:val="32"/>
          <w:highlight w:val="none"/>
          <w:lang w:val="en-US" w:eastAsia="zh-CN"/>
        </w:rPr>
        <w:t>结算准备</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01544103">
      <w:pPr>
        <w:pStyle w:val="18"/>
        <w:numPr>
          <w:ilvl w:val="0"/>
          <w:numId w:val="1"/>
        </w:numPr>
        <w:snapToGrid w:val="0"/>
        <w:spacing w:line="588" w:lineRule="exact"/>
        <w:ind w:left="0" w:firstLine="640"/>
        <w:jc w:val="both"/>
        <w:rPr>
          <w:rFonts w:ascii="Times New Roman" w:hAnsi="Times New Roman" w:eastAsia="仿宋_GB2312" w:cs="Times New Roman"/>
          <w:bCs/>
          <w:sz w:val="32"/>
          <w:szCs w:val="32"/>
          <w:highlight w:val="none"/>
        </w:rPr>
      </w:pPr>
      <w:r>
        <w:rPr>
          <w:rFonts w:hint="eastAsia" w:ascii="Times New Roman" w:hAnsi="Times New Roman" w:eastAsia="仿宋_GB2312" w:cs="Times New Roman"/>
          <w:bCs/>
          <w:sz w:val="32"/>
          <w:szCs w:val="32"/>
          <w:highlight w:val="none"/>
        </w:rPr>
        <w:t>结算准备是</w:t>
      </w:r>
      <w:r>
        <w:rPr>
          <w:rFonts w:hint="eastAsia" w:ascii="Times New Roman" w:hAnsi="Times New Roman" w:eastAsia="仿宋_GB2312" w:cs="Times New Roman"/>
          <w:bCs/>
          <w:sz w:val="32"/>
          <w:szCs w:val="32"/>
          <w:highlight w:val="none"/>
          <w:lang w:val="en-US" w:eastAsia="zh-CN"/>
        </w:rPr>
        <w:t>指</w:t>
      </w:r>
      <w:r>
        <w:rPr>
          <w:rFonts w:hint="eastAsia" w:ascii="Times New Roman" w:hAnsi="Times New Roman" w:eastAsia="仿宋_GB2312" w:cs="Times New Roman"/>
          <w:bCs/>
          <w:sz w:val="32"/>
          <w:szCs w:val="32"/>
          <w:highlight w:val="none"/>
        </w:rPr>
        <w:t>在规定时间内对</w:t>
      </w:r>
      <w:r>
        <w:rPr>
          <w:rFonts w:hint="eastAsia" w:ascii="Times New Roman" w:hAnsi="Times New Roman" w:eastAsia="仿宋_GB2312" w:cs="仿宋_GB2312"/>
          <w:bCs/>
          <w:sz w:val="32"/>
          <w:szCs w:val="32"/>
          <w:highlight w:val="none"/>
        </w:rPr>
        <w:t>结算所需基础数据进行收集汇总的过程</w:t>
      </w:r>
      <w:r>
        <w:rPr>
          <w:rFonts w:hint="eastAsia" w:ascii="Times New Roman" w:hAnsi="Times New Roman" w:eastAsia="仿宋_GB2312" w:cs="仿宋_GB2312"/>
          <w:bCs/>
          <w:sz w:val="32"/>
          <w:szCs w:val="32"/>
          <w:highlight w:val="none"/>
          <w:lang w:val="en-US" w:eastAsia="zh-CN"/>
        </w:rPr>
        <w:t>。</w:t>
      </w:r>
      <w:bookmarkStart w:id="275" w:name="_GoBack"/>
      <w:bookmarkEnd w:id="275"/>
    </w:p>
    <w:p w14:paraId="3D97D692">
      <w:pPr>
        <w:pStyle w:val="18"/>
        <w:numPr>
          <w:ilvl w:val="0"/>
          <w:numId w:val="1"/>
        </w:numPr>
        <w:snapToGrid w:val="0"/>
        <w:spacing w:line="588" w:lineRule="exact"/>
        <w:ind w:left="0" w:firstLine="640"/>
        <w:jc w:val="both"/>
        <w:rPr>
          <w:rFonts w:ascii="Times New Roman" w:hAnsi="Times New Roman" w:eastAsia="仿宋_GB2312" w:cs="Times New Roman"/>
          <w:bCs/>
          <w:sz w:val="32"/>
          <w:szCs w:val="32"/>
          <w:highlight w:val="none"/>
        </w:rPr>
      </w:pPr>
      <w:r>
        <w:rPr>
          <w:rFonts w:hint="eastAsia" w:ascii="Times New Roman" w:hAnsi="Times New Roman" w:eastAsia="仿宋_GB2312" w:cs="仿宋_GB2312"/>
          <w:bCs/>
          <w:sz w:val="32"/>
          <w:szCs w:val="32"/>
          <w:highlight w:val="none"/>
          <w:lang w:val="en-US" w:eastAsia="zh-CN"/>
        </w:rPr>
        <w:t>结算</w:t>
      </w:r>
      <w:r>
        <w:rPr>
          <w:rFonts w:hint="eastAsia" w:ascii="Times New Roman" w:hAnsi="Times New Roman" w:eastAsia="仿宋_GB2312" w:cs="仿宋_GB2312"/>
          <w:bCs/>
          <w:sz w:val="32"/>
          <w:szCs w:val="32"/>
          <w:highlight w:val="none"/>
        </w:rPr>
        <w:t>基础数据包括但不限于：</w:t>
      </w:r>
      <w:r>
        <w:rPr>
          <w:rFonts w:hint="eastAsia" w:ascii="Times New Roman" w:hAnsi="Times New Roman" w:eastAsia="仿宋_GB2312" w:cs="仿宋_GB2312"/>
          <w:bCs/>
          <w:sz w:val="32"/>
          <w:szCs w:val="32"/>
          <w:highlight w:val="none"/>
          <w:lang w:val="en-US" w:eastAsia="zh-CN"/>
        </w:rPr>
        <w:t>市场</w:t>
      </w:r>
      <w:r>
        <w:rPr>
          <w:rFonts w:hint="eastAsia" w:ascii="Times New Roman" w:hAnsi="Times New Roman" w:eastAsia="仿宋_GB2312" w:cs="Times New Roman"/>
          <w:sz w:val="32"/>
          <w:szCs w:val="32"/>
          <w:highlight w:val="none"/>
        </w:rPr>
        <w:t>经营主体档案数据、</w:t>
      </w:r>
      <w:r>
        <w:rPr>
          <w:rFonts w:hint="eastAsia" w:ascii="Times New Roman" w:hAnsi="Times New Roman" w:eastAsia="仿宋_GB2312" w:cs="Times New Roman"/>
          <w:sz w:val="32"/>
          <w:szCs w:val="32"/>
          <w:highlight w:val="none"/>
          <w:lang w:eastAsia="zh-CN"/>
        </w:rPr>
        <w:t>交易</w:t>
      </w:r>
      <w:r>
        <w:rPr>
          <w:rFonts w:hint="eastAsia" w:ascii="Times New Roman" w:hAnsi="Times New Roman" w:eastAsia="仿宋_GB2312" w:cs="Times New Roman"/>
          <w:sz w:val="32"/>
          <w:szCs w:val="32"/>
          <w:highlight w:val="none"/>
        </w:rPr>
        <w:t>合同数据（</w:t>
      </w:r>
      <w:r>
        <w:rPr>
          <w:rFonts w:hint="eastAsia" w:ascii="Times New Roman" w:hAnsi="Times New Roman" w:eastAsia="仿宋_GB2312" w:cs="Times New Roman"/>
          <w:sz w:val="32"/>
          <w:szCs w:val="32"/>
          <w:highlight w:val="none"/>
          <w:lang w:eastAsia="zh-CN"/>
        </w:rPr>
        <w:t>含批发、零售等</w:t>
      </w:r>
      <w:r>
        <w:rPr>
          <w:rFonts w:hint="eastAsia" w:ascii="Times New Roman" w:hAnsi="Times New Roman" w:eastAsia="仿宋_GB2312" w:cs="Times New Roman"/>
          <w:sz w:val="32"/>
          <w:szCs w:val="32"/>
          <w:highlight w:val="none"/>
        </w:rPr>
        <w:t>）、市场出清及调度执行数据、</w:t>
      </w:r>
      <w:r>
        <w:rPr>
          <w:rFonts w:hint="eastAsia" w:ascii="Times New Roman" w:hAnsi="Times New Roman" w:eastAsia="仿宋_GB2312" w:cs="Times New Roman"/>
          <w:sz w:val="32"/>
          <w:szCs w:val="32"/>
        </w:rPr>
        <w:t>辅助服务</w:t>
      </w:r>
      <w:r>
        <w:rPr>
          <w:rFonts w:hint="eastAsia" w:ascii="Times New Roman" w:hAnsi="Times New Roman" w:eastAsia="仿宋_GB2312" w:cs="Times New Roman"/>
          <w:sz w:val="32"/>
          <w:szCs w:val="32"/>
          <w:lang w:eastAsia="zh-CN"/>
        </w:rPr>
        <w:t>计算结果</w:t>
      </w:r>
      <w:r>
        <w:rPr>
          <w:rFonts w:hint="eastAsia" w:ascii="Times New Roman" w:hAnsi="Times New Roman" w:eastAsia="仿宋_GB2312" w:cs="Times New Roman"/>
          <w:sz w:val="32"/>
          <w:szCs w:val="32"/>
        </w:rPr>
        <w:t>、调试及商运时间、</w:t>
      </w:r>
      <w:r>
        <w:rPr>
          <w:rFonts w:hint="eastAsia" w:ascii="Times New Roman" w:hAnsi="Times New Roman" w:eastAsia="仿宋_GB2312" w:cs="Times New Roman"/>
          <w:sz w:val="32"/>
          <w:szCs w:val="32"/>
          <w:highlight w:val="none"/>
        </w:rPr>
        <w:t>关口设置及电量计量数据、</w:t>
      </w:r>
      <w:r>
        <w:rPr>
          <w:rFonts w:hint="eastAsia" w:ascii="Times New Roman" w:hAnsi="Times New Roman" w:eastAsia="仿宋_GB2312" w:cs="Times New Roman"/>
          <w:sz w:val="32"/>
          <w:szCs w:val="32"/>
          <w:highlight w:val="none"/>
          <w:lang w:val="en-US" w:eastAsia="zh-CN"/>
        </w:rPr>
        <w:t>市场规则、</w:t>
      </w:r>
      <w:r>
        <w:rPr>
          <w:rFonts w:hint="eastAsia" w:ascii="Times New Roman" w:hAnsi="Times New Roman" w:eastAsia="仿宋_GB2312" w:cs="Times New Roman"/>
          <w:sz w:val="32"/>
          <w:szCs w:val="32"/>
          <w:highlight w:val="none"/>
        </w:rPr>
        <w:t>电价政策</w:t>
      </w:r>
      <w:r>
        <w:rPr>
          <w:rFonts w:hint="eastAsia" w:ascii="Times New Roman" w:hAnsi="Times New Roman" w:eastAsia="仿宋_GB2312" w:cs="Times New Roman"/>
          <w:sz w:val="32"/>
          <w:szCs w:val="32"/>
          <w:highlight w:val="none"/>
          <w:lang w:eastAsia="zh-CN"/>
        </w:rPr>
        <w:t>文件</w:t>
      </w:r>
      <w:r>
        <w:rPr>
          <w:rFonts w:hint="eastAsia" w:ascii="Times New Roman" w:hAnsi="Times New Roman" w:eastAsia="仿宋_GB2312" w:cs="Times New Roman"/>
          <w:sz w:val="32"/>
          <w:szCs w:val="32"/>
          <w:highlight w:val="none"/>
        </w:rPr>
        <w:t>，以及其他需电力交易机构合并出具结算</w:t>
      </w:r>
      <w:r>
        <w:rPr>
          <w:rFonts w:hint="eastAsia" w:ascii="Times New Roman" w:hAnsi="Times New Roman" w:eastAsia="仿宋_GB2312" w:cs="Times New Roman"/>
          <w:sz w:val="32"/>
          <w:szCs w:val="32"/>
          <w:highlight w:val="none"/>
          <w:lang w:val="en-US" w:eastAsia="zh-CN"/>
        </w:rPr>
        <w:t>依据</w:t>
      </w:r>
      <w:r>
        <w:rPr>
          <w:rFonts w:hint="eastAsia" w:ascii="Times New Roman" w:hAnsi="Times New Roman" w:eastAsia="仿宋_GB2312" w:cs="Times New Roman"/>
          <w:sz w:val="32"/>
          <w:szCs w:val="32"/>
          <w:highlight w:val="none"/>
        </w:rPr>
        <w:t>的数据等</w:t>
      </w:r>
      <w:r>
        <w:rPr>
          <w:rFonts w:hint="eastAsia" w:ascii="Times New Roman" w:hAnsi="Times New Roman" w:eastAsia="仿宋_GB2312" w:cs="Times New Roman"/>
          <w:bCs/>
          <w:sz w:val="32"/>
          <w:szCs w:val="32"/>
          <w:highlight w:val="none"/>
        </w:rPr>
        <w:t>。结算环节不</w:t>
      </w:r>
      <w:r>
        <w:rPr>
          <w:rFonts w:hint="eastAsia" w:ascii="Times New Roman" w:hAnsi="Times New Roman" w:eastAsia="仿宋_GB2312" w:cs="Times New Roman"/>
          <w:bCs/>
          <w:sz w:val="32"/>
          <w:szCs w:val="32"/>
          <w:highlight w:val="none"/>
          <w:lang w:eastAsia="zh-CN"/>
        </w:rPr>
        <w:t>得</w:t>
      </w:r>
      <w:r>
        <w:rPr>
          <w:rFonts w:hint="eastAsia" w:ascii="Times New Roman" w:hAnsi="Times New Roman" w:eastAsia="仿宋_GB2312" w:cs="Times New Roman"/>
          <w:bCs/>
          <w:sz w:val="32"/>
          <w:szCs w:val="32"/>
          <w:highlight w:val="none"/>
        </w:rPr>
        <w:t>改变</w:t>
      </w:r>
      <w:r>
        <w:rPr>
          <w:rFonts w:hint="eastAsia" w:ascii="Times New Roman" w:hAnsi="Times New Roman" w:eastAsia="仿宋_GB2312" w:cs="Times New Roman"/>
          <w:bCs/>
          <w:sz w:val="32"/>
          <w:szCs w:val="32"/>
          <w:highlight w:val="none"/>
          <w:lang w:val="en-US" w:eastAsia="zh-CN"/>
        </w:rPr>
        <w:t>基础数据</w:t>
      </w:r>
      <w:r>
        <w:rPr>
          <w:rFonts w:hint="eastAsia" w:ascii="Times New Roman" w:hAnsi="Times New Roman" w:eastAsia="仿宋_GB2312" w:cs="Times New Roman"/>
          <w:bCs/>
          <w:sz w:val="32"/>
          <w:szCs w:val="32"/>
          <w:highlight w:val="none"/>
        </w:rPr>
        <w:t>。</w:t>
      </w:r>
    </w:p>
    <w:p w14:paraId="4A6BA637">
      <w:pPr>
        <w:pStyle w:val="18"/>
        <w:numPr>
          <w:ilvl w:val="-1"/>
          <w:numId w:val="0"/>
        </w:numPr>
        <w:snapToGrid w:val="0"/>
        <w:spacing w:line="588" w:lineRule="exact"/>
        <w:ind w:left="0" w:firstLine="640" w:firstLineChars="200"/>
        <w:jc w:val="both"/>
        <w:rPr>
          <w:rFonts w:ascii="Times New Roman" w:hAnsi="Times New Roman" w:eastAsia="仿宋_GB2312" w:cs="Times New Roman"/>
          <w:bCs/>
          <w:sz w:val="32"/>
          <w:szCs w:val="32"/>
          <w:highlight w:val="none"/>
        </w:rPr>
      </w:pPr>
      <w:r>
        <w:rPr>
          <w:rFonts w:hint="eastAsia" w:ascii="Times New Roman" w:hAnsi="Times New Roman" w:eastAsia="仿宋_GB2312" w:cs="Times New Roman"/>
          <w:spacing w:val="0"/>
          <w:sz w:val="32"/>
          <w:szCs w:val="32"/>
          <w:highlight w:val="none"/>
          <w:lang w:val="en-US" w:eastAsia="zh-CN" w:bidi="ar"/>
        </w:rPr>
        <w:t>（一）市场出清类数据由电力</w:t>
      </w:r>
      <w:r>
        <w:rPr>
          <w:rFonts w:hint="eastAsia" w:ascii="Times New Roman" w:hAnsi="Times New Roman" w:eastAsia="仿宋_GB2312" w:cs="Times New Roman"/>
          <w:kern w:val="2"/>
          <w:sz w:val="32"/>
          <w:szCs w:val="32"/>
          <w:highlight w:val="none"/>
          <w:lang w:val="en-US" w:eastAsia="zh-CN" w:bidi="ar"/>
        </w:rPr>
        <w:t>调度机构按日向电力交易机构提供后1日电力现货市场日前出清结果、辅助服务市场出清结果（涉及电量清分部分）、必开机组等，前1日现货市场日内、实时出清结果。</w:t>
      </w:r>
    </w:p>
    <w:p w14:paraId="26AB0B57">
      <w:pPr>
        <w:pStyle w:val="18"/>
        <w:numPr>
          <w:ilvl w:val="-1"/>
          <w:numId w:val="0"/>
        </w:numPr>
        <w:snapToGrid w:val="0"/>
        <w:spacing w:line="588" w:lineRule="exact"/>
        <w:ind w:left="0" w:firstLine="640" w:firstLineChars="200"/>
        <w:jc w:val="both"/>
        <w:rPr>
          <w:rFonts w:hint="eastAsia" w:ascii="Times New Roman" w:hAnsi="Times New Roman" w:eastAsia="仿宋_GB2312" w:cs="Times New Roman"/>
          <w:bCs/>
          <w:strike w:val="0"/>
          <w:dstrike w:val="0"/>
          <w:sz w:val="32"/>
          <w:szCs w:val="32"/>
          <w:highlight w:val="none"/>
        </w:rPr>
      </w:pPr>
      <w:r>
        <w:rPr>
          <w:rFonts w:hint="eastAsia" w:ascii="Times New Roman" w:hAnsi="Times New Roman" w:eastAsia="仿宋_GB2312" w:cs="Times New Roman"/>
          <w:bCs/>
          <w:strike w:val="0"/>
          <w:dstrike w:val="0"/>
          <w:sz w:val="32"/>
          <w:szCs w:val="32"/>
          <w:highlight w:val="none"/>
          <w:lang w:eastAsia="zh-CN"/>
        </w:rPr>
        <w:t>（二）调度</w:t>
      </w:r>
      <w:r>
        <w:rPr>
          <w:rFonts w:hint="eastAsia" w:ascii="Times New Roman" w:hAnsi="Times New Roman" w:eastAsia="仿宋_GB2312" w:cs="Times New Roman"/>
          <w:bCs/>
          <w:strike w:val="0"/>
          <w:dstrike w:val="0"/>
          <w:sz w:val="32"/>
          <w:szCs w:val="32"/>
          <w:highlight w:val="none"/>
        </w:rPr>
        <w:t>执行</w:t>
      </w:r>
      <w:r>
        <w:rPr>
          <w:rFonts w:hint="eastAsia" w:ascii="Times New Roman" w:hAnsi="Times New Roman" w:eastAsia="仿宋_GB2312" w:cs="Times New Roman"/>
          <w:bCs/>
          <w:strike w:val="0"/>
          <w:dstrike w:val="0"/>
          <w:sz w:val="32"/>
          <w:szCs w:val="32"/>
          <w:highlight w:val="none"/>
          <w:lang w:eastAsia="zh-CN"/>
        </w:rPr>
        <w:t>类数据由</w:t>
      </w:r>
      <w:r>
        <w:rPr>
          <w:rFonts w:hint="eastAsia" w:ascii="Times New Roman" w:hAnsi="Times New Roman" w:eastAsia="仿宋_GB2312" w:cs="Times New Roman"/>
          <w:bCs/>
          <w:strike w:val="0"/>
          <w:dstrike w:val="0"/>
          <w:sz w:val="32"/>
          <w:szCs w:val="32"/>
          <w:highlight w:val="none"/>
        </w:rPr>
        <w:t>电力调度机构</w:t>
      </w:r>
      <w:r>
        <w:rPr>
          <w:rFonts w:hint="eastAsia" w:ascii="Times New Roman" w:hAnsi="Times New Roman" w:eastAsia="仿宋_GB2312" w:cs="Times New Roman"/>
          <w:bCs/>
          <w:strike w:val="0"/>
          <w:dstrike w:val="0"/>
          <w:sz w:val="32"/>
          <w:szCs w:val="32"/>
          <w:highlight w:val="none"/>
          <w:lang w:eastAsia="zh-CN"/>
        </w:rPr>
        <w:t>按日向电力交易机构</w:t>
      </w:r>
      <w:r>
        <w:rPr>
          <w:rFonts w:hint="eastAsia" w:ascii="Times New Roman" w:hAnsi="Times New Roman" w:eastAsia="仿宋_GB2312" w:cs="Times New Roman"/>
          <w:bCs/>
          <w:strike w:val="0"/>
          <w:dstrike w:val="0"/>
          <w:sz w:val="32"/>
          <w:szCs w:val="32"/>
          <w:highlight w:val="none"/>
        </w:rPr>
        <w:t>提供</w:t>
      </w:r>
      <w:r>
        <w:rPr>
          <w:rFonts w:hint="eastAsia" w:ascii="Times New Roman" w:hAnsi="Times New Roman" w:eastAsia="仿宋_GB2312" w:cs="Times New Roman"/>
          <w:bCs/>
          <w:strike w:val="0"/>
          <w:dstrike w:val="0"/>
          <w:sz w:val="32"/>
          <w:szCs w:val="32"/>
          <w:highlight w:val="none"/>
          <w:lang w:eastAsia="zh-CN"/>
        </w:rPr>
        <w:t>前</w:t>
      </w:r>
      <w:r>
        <w:rPr>
          <w:rFonts w:hint="eastAsia" w:ascii="Times New Roman" w:hAnsi="Times New Roman" w:eastAsia="仿宋_GB2312" w:cs="Times New Roman"/>
          <w:bCs/>
          <w:strike w:val="0"/>
          <w:dstrike w:val="0"/>
          <w:sz w:val="32"/>
          <w:szCs w:val="32"/>
          <w:highlight w:val="none"/>
          <w:lang w:val="en-US" w:eastAsia="zh-CN"/>
        </w:rPr>
        <w:t>1</w:t>
      </w:r>
      <w:r>
        <w:rPr>
          <w:rFonts w:hint="eastAsia" w:ascii="Times New Roman" w:hAnsi="Times New Roman" w:eastAsia="仿宋_GB2312" w:cs="Times New Roman"/>
          <w:bCs/>
          <w:strike w:val="0"/>
          <w:dstrike w:val="0"/>
          <w:sz w:val="32"/>
          <w:szCs w:val="32"/>
          <w:highlight w:val="none"/>
        </w:rPr>
        <w:t>日中长期交易及电力现货执行结果、辅助服务实际调用结果</w:t>
      </w:r>
      <w:r>
        <w:rPr>
          <w:rFonts w:hint="eastAsia" w:ascii="Times New Roman" w:hAnsi="Times New Roman" w:eastAsia="仿宋_GB2312" w:cs="Times New Roman"/>
          <w:bCs/>
          <w:strike w:val="0"/>
          <w:dstrike w:val="0"/>
          <w:sz w:val="32"/>
          <w:szCs w:val="32"/>
          <w:highlight w:val="none"/>
          <w:lang w:eastAsia="zh-CN"/>
        </w:rPr>
        <w:t>（涉及电量清分部分）</w:t>
      </w:r>
      <w:r>
        <w:rPr>
          <w:rFonts w:hint="eastAsia" w:ascii="Times New Roman" w:hAnsi="Times New Roman" w:eastAsia="仿宋_GB2312" w:cs="Times New Roman"/>
          <w:bCs/>
          <w:strike w:val="0"/>
          <w:dstrike w:val="0"/>
          <w:sz w:val="32"/>
          <w:szCs w:val="32"/>
          <w:highlight w:val="none"/>
        </w:rPr>
        <w:t>、应急调度执行结果、机组有效发电容量、偏差责任认定结果等。</w:t>
      </w:r>
    </w:p>
    <w:p w14:paraId="2AE5DAB7">
      <w:pPr>
        <w:pStyle w:val="4"/>
        <w:ind w:firstLine="640"/>
        <w:rPr>
          <w:rFonts w:ascii="Times New Roman" w:hAnsi="Times New Roman"/>
        </w:rPr>
      </w:pPr>
      <w:r>
        <w:rPr>
          <w:rFonts w:hint="eastAsia" w:ascii="Times New Roman" w:hAnsi="Times New Roman" w:eastAsia="仿宋_GB2312" w:cs="Times New Roman"/>
          <w:bCs/>
          <w:strike w:val="0"/>
          <w:dstrike w:val="0"/>
          <w:sz w:val="32"/>
          <w:szCs w:val="32"/>
          <w:highlight w:val="none"/>
          <w:lang w:eastAsia="zh-CN"/>
        </w:rPr>
        <w:t>（三）</w:t>
      </w:r>
      <w:r>
        <w:rPr>
          <w:rFonts w:hint="eastAsia" w:ascii="Times New Roman" w:hAnsi="Times New Roman" w:eastAsia="仿宋_GB2312" w:cs="Times New Roman"/>
          <w:bCs/>
          <w:strike w:val="0"/>
          <w:dstrike w:val="0"/>
          <w:sz w:val="32"/>
          <w:szCs w:val="32"/>
          <w:highlight w:val="none"/>
        </w:rPr>
        <w:t>新投省间联络线、发电机组（独立储能）调试、试运行、进入商运的时间节点等信息，</w:t>
      </w:r>
      <w:r>
        <w:rPr>
          <w:rFonts w:hint="eastAsia" w:ascii="Times New Roman" w:hAnsi="Times New Roman" w:eastAsia="仿宋_GB2312" w:cs="Times New Roman"/>
          <w:bCs/>
          <w:strike w:val="0"/>
          <w:dstrike w:val="0"/>
          <w:sz w:val="32"/>
          <w:szCs w:val="32"/>
          <w:highlight w:val="none"/>
          <w:lang w:eastAsia="zh-CN"/>
        </w:rPr>
        <w:t>电力</w:t>
      </w:r>
      <w:r>
        <w:rPr>
          <w:rFonts w:hint="eastAsia" w:ascii="Times New Roman" w:hAnsi="Times New Roman" w:eastAsia="仿宋_GB2312" w:cs="Times New Roman"/>
          <w:bCs/>
          <w:strike w:val="0"/>
          <w:dstrike w:val="0"/>
          <w:sz w:val="32"/>
          <w:szCs w:val="32"/>
          <w:highlight w:val="none"/>
        </w:rPr>
        <w:t>调度机构应在每个阶段开始后的</w:t>
      </w:r>
      <w:r>
        <w:rPr>
          <w:rFonts w:hint="eastAsia" w:ascii="Times New Roman" w:hAnsi="Times New Roman" w:eastAsia="仿宋_GB2312" w:cs="Times New Roman"/>
          <w:bCs/>
          <w:strike w:val="0"/>
          <w:dstrike w:val="0"/>
          <w:sz w:val="32"/>
          <w:szCs w:val="32"/>
          <w:highlight w:val="none"/>
          <w:lang w:eastAsia="zh-CN"/>
        </w:rPr>
        <w:t>第</w:t>
      </w:r>
      <w:r>
        <w:rPr>
          <w:rFonts w:hint="eastAsia" w:ascii="Times New Roman" w:hAnsi="Times New Roman" w:eastAsia="仿宋_GB2312" w:cs="Times New Roman"/>
          <w:bCs/>
          <w:strike w:val="0"/>
          <w:dstrike w:val="0"/>
          <w:sz w:val="32"/>
          <w:szCs w:val="32"/>
          <w:highlight w:val="none"/>
          <w:lang w:val="en-US" w:eastAsia="zh-CN"/>
        </w:rPr>
        <w:t>1个</w:t>
      </w:r>
      <w:r>
        <w:rPr>
          <w:rFonts w:hint="eastAsia" w:ascii="Times New Roman" w:hAnsi="Times New Roman" w:eastAsia="仿宋_GB2312" w:cs="Times New Roman"/>
          <w:bCs/>
          <w:strike w:val="0"/>
          <w:dstrike w:val="0"/>
          <w:sz w:val="32"/>
          <w:szCs w:val="32"/>
          <w:highlight w:val="none"/>
        </w:rPr>
        <w:t>工作日内</w:t>
      </w:r>
      <w:r>
        <w:rPr>
          <w:rFonts w:hint="eastAsia" w:ascii="Times New Roman" w:hAnsi="Times New Roman" w:eastAsia="仿宋_GB2312" w:cs="Times New Roman"/>
          <w:bCs/>
          <w:strike w:val="0"/>
          <w:dstrike w:val="0"/>
          <w:sz w:val="32"/>
          <w:szCs w:val="32"/>
          <w:highlight w:val="none"/>
          <w:lang w:eastAsia="zh-CN"/>
        </w:rPr>
        <w:t>提供</w:t>
      </w:r>
      <w:r>
        <w:rPr>
          <w:rFonts w:hint="eastAsia" w:ascii="Times New Roman" w:hAnsi="Times New Roman" w:eastAsia="仿宋_GB2312" w:cs="Times New Roman"/>
          <w:bCs/>
          <w:strike w:val="0"/>
          <w:dstrike w:val="0"/>
          <w:sz w:val="32"/>
          <w:szCs w:val="32"/>
          <w:highlight w:val="none"/>
          <w:lang w:val="en-US" w:eastAsia="zh-CN"/>
        </w:rPr>
        <w:t>至</w:t>
      </w:r>
      <w:r>
        <w:rPr>
          <w:rFonts w:hint="eastAsia" w:ascii="Times New Roman" w:hAnsi="Times New Roman" w:eastAsia="仿宋_GB2312" w:cs="Times New Roman"/>
          <w:bCs/>
          <w:strike w:val="0"/>
          <w:dstrike w:val="0"/>
          <w:sz w:val="32"/>
          <w:szCs w:val="32"/>
          <w:highlight w:val="none"/>
          <w:lang w:eastAsia="zh-CN"/>
        </w:rPr>
        <w:t>电力交易机构</w:t>
      </w:r>
      <w:r>
        <w:rPr>
          <w:rFonts w:hint="eastAsia" w:ascii="Times New Roman" w:hAnsi="Times New Roman" w:eastAsia="仿宋_GB2312" w:cs="Times New Roman"/>
          <w:bCs/>
          <w:strike w:val="0"/>
          <w:dstrike w:val="0"/>
          <w:sz w:val="32"/>
          <w:szCs w:val="32"/>
          <w:highlight w:val="none"/>
        </w:rPr>
        <w:t>。</w:t>
      </w:r>
    </w:p>
    <w:p w14:paraId="40350342">
      <w:pPr>
        <w:pStyle w:val="18"/>
        <w:numPr>
          <w:ilvl w:val="0"/>
          <w:numId w:val="1"/>
        </w:numPr>
        <w:snapToGrid w:val="0"/>
        <w:spacing w:line="588" w:lineRule="exact"/>
        <w:jc w:val="both"/>
        <w:rPr>
          <w:rFonts w:ascii="Times New Roman" w:hAnsi="Times New Roman" w:eastAsia="仿宋_GB2312" w:cs="Times New Roman"/>
          <w:bCs/>
          <w:strike w:val="0"/>
          <w:dstrike w:val="0"/>
          <w:sz w:val="32"/>
          <w:szCs w:val="32"/>
          <w:highlight w:val="none"/>
        </w:rPr>
      </w:pPr>
      <w:r>
        <w:rPr>
          <w:rFonts w:hint="default" w:ascii="Times New Roman" w:hAnsi="Times New Roman" w:eastAsia="仿宋_GB2312" w:cs="Times New Roman"/>
          <w:bCs/>
          <w:sz w:val="32"/>
          <w:szCs w:val="32"/>
          <w:highlight w:val="none"/>
        </w:rPr>
        <w:t>结算所需信息涉及市场经营主体档案数据的，市场经营主体应保障数据的完整性、准确性，并在结算周期规定的时间内通过电力交易平台完成更新、提交。未及时更新、提交的，电力交易机构以电力交易平台既有数据</w:t>
      </w:r>
      <w:r>
        <w:rPr>
          <w:rFonts w:hint="eastAsia" w:ascii="Times New Roman" w:hAnsi="Times New Roman" w:eastAsia="仿宋_GB2312" w:cs="Times New Roman"/>
          <w:bCs/>
          <w:sz w:val="32"/>
          <w:szCs w:val="32"/>
          <w:highlight w:val="none"/>
          <w:lang w:val="en-US" w:eastAsia="zh-CN"/>
        </w:rPr>
        <w:t>形成结算依据</w:t>
      </w:r>
      <w:r>
        <w:rPr>
          <w:rFonts w:hint="default" w:ascii="Times New Roman" w:hAnsi="Times New Roman" w:eastAsia="仿宋_GB2312" w:cs="Times New Roman"/>
          <w:bCs/>
          <w:sz w:val="32"/>
          <w:szCs w:val="32"/>
          <w:highlight w:val="none"/>
        </w:rPr>
        <w:t>。</w:t>
      </w:r>
    </w:p>
    <w:p w14:paraId="31675890">
      <w:pPr>
        <w:pStyle w:val="18"/>
        <w:numPr>
          <w:ilvl w:val="0"/>
          <w:numId w:val="1"/>
        </w:numPr>
        <w:snapToGrid w:val="0"/>
        <w:spacing w:line="588" w:lineRule="exact"/>
        <w:jc w:val="left"/>
        <w:rPr>
          <w:rFonts w:ascii="Times New Roman" w:hAnsi="Times New Roman" w:eastAsia="仿宋_GB2312" w:cs="Times New Roman"/>
          <w:bCs/>
          <w:strike w:val="0"/>
          <w:dstrike w:val="0"/>
          <w:sz w:val="32"/>
          <w:szCs w:val="32"/>
          <w:highlight w:val="none"/>
        </w:rPr>
      </w:pPr>
      <w:r>
        <w:rPr>
          <w:rFonts w:hint="eastAsia" w:ascii="Times New Roman" w:hAnsi="Times New Roman" w:eastAsia="仿宋_GB2312" w:cs="Times New Roman"/>
          <w:bCs/>
          <w:sz w:val="32"/>
          <w:szCs w:val="32"/>
          <w:highlight w:val="none"/>
        </w:rPr>
        <w:t>电力交易机构负责组织售电公司与零售用户在电力交易平台填报零售交易相关参数、零售结算模式、考核条款等套餐内容，完成零售合同签订。零售合同如需修改或变更，应由双方以月为周期在电力交易平台重新填报</w:t>
      </w:r>
      <w:r>
        <w:rPr>
          <w:rFonts w:hint="eastAsia" w:ascii="Times New Roman" w:hAnsi="Times New Roman" w:eastAsia="仿宋_GB2312" w:cs="Times New Roman"/>
          <w:bCs/>
          <w:sz w:val="32"/>
          <w:szCs w:val="32"/>
          <w:highlight w:val="none"/>
          <w:lang w:eastAsia="zh-CN"/>
        </w:rPr>
        <w:t>，并在生效后执行</w:t>
      </w:r>
      <w:r>
        <w:rPr>
          <w:rFonts w:hint="eastAsia" w:ascii="Times New Roman" w:hAnsi="Times New Roman" w:eastAsia="仿宋_GB2312" w:cs="Times New Roman"/>
          <w:bCs/>
          <w:sz w:val="32"/>
          <w:szCs w:val="32"/>
          <w:highlight w:val="none"/>
        </w:rPr>
        <w:t>。</w:t>
      </w:r>
    </w:p>
    <w:p w14:paraId="78B7F1A4">
      <w:pPr>
        <w:pStyle w:val="18"/>
        <w:numPr>
          <w:ilvl w:val="0"/>
          <w:numId w:val="1"/>
        </w:numPr>
        <w:snapToGrid w:val="0"/>
        <w:spacing w:line="588" w:lineRule="exact"/>
        <w:jc w:val="left"/>
        <w:rPr>
          <w:rFonts w:ascii="Times New Roman" w:hAnsi="Times New Roman" w:eastAsia="仿宋_GB2312" w:cs="Times New Roman"/>
          <w:bCs/>
          <w:strike w:val="0"/>
          <w:dstrike w:val="0"/>
          <w:sz w:val="32"/>
          <w:szCs w:val="32"/>
          <w:highlight w:val="none"/>
        </w:rPr>
      </w:pPr>
      <w:r>
        <w:rPr>
          <w:rFonts w:ascii="Times New Roman" w:hAnsi="Times New Roman" w:eastAsia="仿宋_GB2312" w:cs="Times New Roman"/>
          <w:bCs/>
          <w:sz w:val="32"/>
          <w:szCs w:val="32"/>
          <w:highlight w:val="none"/>
        </w:rPr>
        <w:t>因政策调整</w:t>
      </w:r>
      <w:r>
        <w:rPr>
          <w:rFonts w:hint="eastAsia" w:ascii="Times New Roman" w:hAnsi="Times New Roman" w:eastAsia="仿宋_GB2312" w:cs="Times New Roman"/>
          <w:bCs/>
          <w:sz w:val="32"/>
          <w:szCs w:val="32"/>
          <w:highlight w:val="none"/>
          <w:lang w:val="en-US" w:eastAsia="zh-CN"/>
        </w:rPr>
        <w:t>或</w:t>
      </w:r>
      <w:r>
        <w:rPr>
          <w:rFonts w:hint="eastAsia" w:ascii="Times New Roman" w:hAnsi="Times New Roman" w:eastAsia="仿宋_GB2312" w:cs="Times New Roman"/>
          <w:bCs/>
          <w:sz w:val="32"/>
          <w:szCs w:val="32"/>
          <w:highlight w:val="none"/>
        </w:rPr>
        <w:t>合同</w:t>
      </w:r>
      <w:r>
        <w:rPr>
          <w:rFonts w:ascii="Times New Roman" w:hAnsi="Times New Roman" w:eastAsia="仿宋_GB2312" w:cs="Times New Roman"/>
          <w:bCs/>
          <w:sz w:val="32"/>
          <w:szCs w:val="32"/>
          <w:highlight w:val="none"/>
        </w:rPr>
        <w:t>关键要素缺失等原因，导致不满足结算条件</w:t>
      </w:r>
      <w:r>
        <w:rPr>
          <w:rFonts w:hint="eastAsia" w:ascii="Times New Roman" w:hAnsi="Times New Roman" w:eastAsia="仿宋_GB2312" w:cs="Times New Roman"/>
          <w:bCs/>
          <w:sz w:val="32"/>
          <w:szCs w:val="32"/>
          <w:highlight w:val="none"/>
          <w:lang w:val="en-US" w:eastAsia="zh-CN"/>
        </w:rPr>
        <w:t>的</w:t>
      </w:r>
      <w:r>
        <w:rPr>
          <w:rFonts w:hint="eastAsia" w:ascii="Times New Roman" w:hAnsi="Times New Roman" w:eastAsia="仿宋_GB2312" w:cs="Times New Roman"/>
          <w:bCs/>
          <w:sz w:val="32"/>
          <w:szCs w:val="32"/>
          <w:highlight w:val="none"/>
          <w:lang w:eastAsia="zh-CN"/>
        </w:rPr>
        <w:t>，</w:t>
      </w:r>
      <w:r>
        <w:rPr>
          <w:rFonts w:hint="eastAsia" w:ascii="Times New Roman" w:hAnsi="Times New Roman" w:eastAsia="仿宋_GB2312" w:cs="Times New Roman"/>
          <w:bCs/>
          <w:sz w:val="32"/>
          <w:szCs w:val="32"/>
          <w:highlight w:val="none"/>
          <w:lang w:val="en-US" w:eastAsia="zh-CN"/>
        </w:rPr>
        <w:t>有</w:t>
      </w:r>
      <w:r>
        <w:rPr>
          <w:rFonts w:ascii="Times New Roman" w:hAnsi="Times New Roman" w:eastAsia="仿宋_GB2312" w:cs="Times New Roman"/>
          <w:bCs/>
          <w:sz w:val="32"/>
          <w:szCs w:val="32"/>
          <w:highlight w:val="none"/>
        </w:rPr>
        <w:t>临时价格</w:t>
      </w:r>
      <w:r>
        <w:rPr>
          <w:rFonts w:hint="eastAsia" w:ascii="Times New Roman" w:hAnsi="Times New Roman" w:eastAsia="仿宋_GB2312" w:cs="Times New Roman"/>
          <w:bCs/>
          <w:sz w:val="32"/>
          <w:szCs w:val="32"/>
          <w:highlight w:val="none"/>
          <w:lang w:val="en-US" w:eastAsia="zh-CN"/>
        </w:rPr>
        <w:t>的</w:t>
      </w:r>
      <w:r>
        <w:rPr>
          <w:rFonts w:hint="eastAsia" w:ascii="Times New Roman" w:hAnsi="Times New Roman" w:eastAsia="仿宋_GB2312" w:cs="Times New Roman"/>
          <w:bCs/>
          <w:sz w:val="32"/>
          <w:szCs w:val="32"/>
          <w:highlight w:val="none"/>
          <w:lang w:eastAsia="zh-CN"/>
        </w:rPr>
        <w:t>，</w:t>
      </w:r>
      <w:r>
        <w:rPr>
          <w:rFonts w:hint="eastAsia" w:ascii="Times New Roman" w:hAnsi="Times New Roman" w:eastAsia="仿宋_GB2312" w:cs="Times New Roman"/>
          <w:bCs/>
          <w:sz w:val="32"/>
          <w:szCs w:val="32"/>
          <w:highlight w:val="none"/>
          <w:lang w:val="en-US" w:eastAsia="zh-CN"/>
        </w:rPr>
        <w:t>按临时价格</w:t>
      </w:r>
      <w:r>
        <w:rPr>
          <w:rFonts w:ascii="Times New Roman" w:hAnsi="Times New Roman" w:eastAsia="仿宋_GB2312" w:cs="Times New Roman"/>
          <w:bCs/>
          <w:sz w:val="32"/>
          <w:szCs w:val="32"/>
          <w:highlight w:val="none"/>
        </w:rPr>
        <w:t>结算</w:t>
      </w:r>
      <w:r>
        <w:rPr>
          <w:rFonts w:hint="eastAsia" w:ascii="Times New Roman" w:hAnsi="Times New Roman" w:eastAsia="仿宋_GB2312" w:cs="Times New Roman"/>
          <w:bCs/>
          <w:sz w:val="32"/>
          <w:szCs w:val="32"/>
          <w:highlight w:val="none"/>
          <w:lang w:eastAsia="zh-CN"/>
        </w:rPr>
        <w:t>，</w:t>
      </w:r>
      <w:r>
        <w:rPr>
          <w:rFonts w:hint="eastAsia" w:ascii="Times New Roman" w:hAnsi="Times New Roman" w:eastAsia="仿宋_GB2312" w:cs="Times New Roman"/>
          <w:bCs/>
          <w:sz w:val="32"/>
          <w:szCs w:val="32"/>
          <w:highlight w:val="none"/>
          <w:lang w:val="en-US" w:eastAsia="zh-CN"/>
        </w:rPr>
        <w:t>待后续清算</w:t>
      </w:r>
      <w:r>
        <w:rPr>
          <w:rFonts w:hint="eastAsia" w:ascii="Times New Roman" w:hAnsi="Times New Roman" w:eastAsia="仿宋_GB2312" w:cs="Times New Roman"/>
          <w:bCs/>
          <w:sz w:val="32"/>
          <w:szCs w:val="32"/>
          <w:highlight w:val="none"/>
          <w:lang w:eastAsia="zh-CN"/>
        </w:rPr>
        <w:t>；</w:t>
      </w:r>
      <w:r>
        <w:rPr>
          <w:rFonts w:hint="eastAsia" w:ascii="Times New Roman" w:hAnsi="Times New Roman" w:eastAsia="仿宋_GB2312" w:cs="Times New Roman"/>
          <w:bCs/>
          <w:sz w:val="32"/>
          <w:szCs w:val="32"/>
          <w:highlight w:val="none"/>
          <w:lang w:val="en-US" w:eastAsia="zh-CN"/>
        </w:rPr>
        <w:t>无临时价格的</w:t>
      </w:r>
      <w:r>
        <w:rPr>
          <w:rFonts w:hint="eastAsia" w:ascii="Times New Roman" w:hAnsi="Times New Roman" w:eastAsia="仿宋_GB2312" w:cs="Times New Roman"/>
          <w:bCs/>
          <w:sz w:val="32"/>
          <w:szCs w:val="32"/>
          <w:highlight w:val="none"/>
          <w:lang w:eastAsia="zh-CN"/>
        </w:rPr>
        <w:t>，</w:t>
      </w:r>
      <w:r>
        <w:rPr>
          <w:rFonts w:hint="eastAsia" w:ascii="Times New Roman" w:hAnsi="Times New Roman" w:eastAsia="仿宋_GB2312" w:cs="Times New Roman"/>
          <w:bCs/>
          <w:sz w:val="32"/>
          <w:szCs w:val="32"/>
          <w:highlight w:val="none"/>
          <w:lang w:val="en-US" w:eastAsia="zh-CN"/>
        </w:rPr>
        <w:t>在满足结算条件后的下一个结算周期内</w:t>
      </w:r>
      <w:r>
        <w:rPr>
          <w:rFonts w:ascii="Times New Roman" w:hAnsi="Times New Roman" w:eastAsia="仿宋_GB2312" w:cs="Times New Roman"/>
          <w:bCs/>
          <w:sz w:val="32"/>
          <w:szCs w:val="32"/>
          <w:highlight w:val="none"/>
        </w:rPr>
        <w:t>完成结算</w:t>
      </w:r>
      <w:r>
        <w:rPr>
          <w:rFonts w:hint="eastAsia" w:ascii="Times New Roman" w:hAnsi="Times New Roman" w:eastAsia="仿宋_GB2312" w:cs="Times New Roman"/>
          <w:bCs/>
          <w:sz w:val="32"/>
          <w:szCs w:val="32"/>
          <w:highlight w:val="none"/>
          <w:lang w:eastAsia="zh-CN"/>
        </w:rPr>
        <w:t>。</w:t>
      </w:r>
      <w:r>
        <w:rPr>
          <w:rFonts w:ascii="Times New Roman" w:hAnsi="Times New Roman" w:eastAsia="仿宋_GB2312" w:cs="Times New Roman"/>
          <w:bCs/>
          <w:sz w:val="32"/>
          <w:szCs w:val="32"/>
          <w:highlight w:val="none"/>
        </w:rPr>
        <w:t xml:space="preserve"> </w:t>
      </w:r>
    </w:p>
    <w:p w14:paraId="2069E6AC">
      <w:pPr>
        <w:pStyle w:val="18"/>
        <w:numPr>
          <w:ilvl w:val="0"/>
          <w:numId w:val="1"/>
        </w:numPr>
        <w:snapToGrid w:val="0"/>
        <w:spacing w:line="588" w:lineRule="exact"/>
        <w:ind w:left="0" w:firstLine="640"/>
        <w:jc w:val="both"/>
        <w:rPr>
          <w:rFonts w:ascii="Times New Roman" w:hAnsi="Times New Roman"/>
          <w:highlight w:val="none"/>
        </w:rPr>
      </w:pPr>
      <w:r>
        <w:rPr>
          <w:rFonts w:hint="eastAsia" w:ascii="Times New Roman" w:hAnsi="Times New Roman" w:eastAsia="仿宋_GB2312" w:cs="Times New Roman"/>
          <w:bCs/>
          <w:sz w:val="32"/>
          <w:szCs w:val="32"/>
          <w:highlight w:val="none"/>
        </w:rPr>
        <w:t>因结算</w:t>
      </w:r>
      <w:r>
        <w:rPr>
          <w:rFonts w:hint="eastAsia" w:ascii="Times New Roman" w:hAnsi="Times New Roman" w:eastAsia="仿宋_GB2312" w:cs="Times New Roman"/>
          <w:bCs/>
          <w:sz w:val="32"/>
          <w:szCs w:val="32"/>
          <w:highlight w:val="none"/>
          <w:lang w:val="en-US" w:eastAsia="zh-CN"/>
        </w:rPr>
        <w:t>基础</w:t>
      </w:r>
      <w:r>
        <w:rPr>
          <w:rFonts w:hint="eastAsia" w:ascii="Times New Roman" w:hAnsi="Times New Roman" w:eastAsia="仿宋_GB2312" w:cs="Times New Roman"/>
          <w:bCs/>
          <w:sz w:val="32"/>
          <w:szCs w:val="32"/>
          <w:highlight w:val="none"/>
        </w:rPr>
        <w:t>数据</w:t>
      </w:r>
      <w:r>
        <w:rPr>
          <w:rFonts w:ascii="Times New Roman" w:hAnsi="Times New Roman" w:eastAsia="仿宋_GB2312" w:cs="Times New Roman"/>
          <w:bCs/>
          <w:sz w:val="32"/>
          <w:szCs w:val="32"/>
          <w:highlight w:val="none"/>
        </w:rPr>
        <w:t>错误</w:t>
      </w:r>
      <w:r>
        <w:rPr>
          <w:rFonts w:hint="eastAsia" w:ascii="Times New Roman" w:hAnsi="Times New Roman" w:eastAsia="仿宋_GB2312" w:cs="Times New Roman"/>
          <w:bCs/>
          <w:sz w:val="32"/>
          <w:szCs w:val="32"/>
          <w:highlight w:val="none"/>
        </w:rPr>
        <w:t>、</w:t>
      </w:r>
      <w:r>
        <w:rPr>
          <w:rFonts w:ascii="Times New Roman" w:hAnsi="Times New Roman" w:eastAsia="仿宋_GB2312" w:cs="Times New Roman"/>
          <w:bCs/>
          <w:sz w:val="32"/>
          <w:szCs w:val="32"/>
          <w:highlight w:val="none"/>
        </w:rPr>
        <w:t>不可用</w:t>
      </w:r>
      <w:r>
        <w:rPr>
          <w:rFonts w:hint="eastAsia" w:ascii="Times New Roman" w:hAnsi="Times New Roman" w:eastAsia="仿宋_GB2312" w:cs="Times New Roman"/>
          <w:bCs/>
          <w:sz w:val="32"/>
          <w:szCs w:val="32"/>
          <w:highlight w:val="none"/>
        </w:rPr>
        <w:t>或存在争议，需要</w:t>
      </w:r>
      <w:r>
        <w:rPr>
          <w:rFonts w:hint="eastAsia" w:ascii="Times New Roman" w:hAnsi="Times New Roman" w:eastAsia="仿宋_GB2312" w:cs="Times New Roman"/>
          <w:sz w:val="32"/>
          <w:szCs w:val="32"/>
          <w:highlight w:val="none"/>
        </w:rPr>
        <w:t>提供方重新提供信息时，</w:t>
      </w:r>
      <w:r>
        <w:rPr>
          <w:rFonts w:hint="eastAsia" w:ascii="Times New Roman" w:hAnsi="Times New Roman" w:eastAsia="仿宋_GB2312" w:cs="仿宋_GB2312"/>
          <w:sz w:val="32"/>
          <w:szCs w:val="32"/>
          <w:highlight w:val="none"/>
          <w:lang w:val="en-US" w:eastAsia="zh-CN"/>
        </w:rPr>
        <w:t>应通过</w:t>
      </w:r>
      <w:r>
        <w:rPr>
          <w:rFonts w:hint="eastAsia" w:ascii="Times New Roman" w:hAnsi="Times New Roman" w:eastAsia="仿宋_GB2312" w:cs="仿宋_GB2312"/>
          <w:sz w:val="32"/>
          <w:szCs w:val="32"/>
          <w:highlight w:val="none"/>
        </w:rPr>
        <w:t>平台</w:t>
      </w:r>
      <w:r>
        <w:rPr>
          <w:rFonts w:hint="eastAsia" w:ascii="Times New Roman" w:hAnsi="Times New Roman" w:eastAsia="仿宋_GB2312" w:cs="仿宋_GB2312"/>
          <w:sz w:val="32"/>
          <w:szCs w:val="32"/>
          <w:highlight w:val="none"/>
          <w:lang w:val="en-US" w:eastAsia="zh-CN"/>
        </w:rPr>
        <w:t>补推</w:t>
      </w:r>
      <w:r>
        <w:rPr>
          <w:rFonts w:hint="eastAsia" w:ascii="Times New Roman" w:hAnsi="Times New Roman" w:eastAsia="仿宋_GB2312" w:cs="仿宋_GB2312"/>
          <w:sz w:val="32"/>
          <w:szCs w:val="32"/>
          <w:highlight w:val="none"/>
        </w:rPr>
        <w:t>，并做好记录。</w:t>
      </w:r>
      <w:r>
        <w:rPr>
          <w:rFonts w:hint="eastAsia" w:ascii="Times New Roman" w:hAnsi="Times New Roman" w:eastAsia="仿宋_GB2312" w:cs="仿宋_GB2312"/>
          <w:sz w:val="32"/>
          <w:szCs w:val="32"/>
          <w:highlight w:val="none"/>
          <w:lang w:val="en-US" w:eastAsia="zh-CN"/>
        </w:rPr>
        <w:t>电力交易机构收到补推数据后，按结算调整原则统筹处理</w:t>
      </w:r>
      <w:r>
        <w:rPr>
          <w:rFonts w:hint="eastAsia" w:ascii="Times New Roman" w:hAnsi="Times New Roman" w:eastAsia="仿宋_GB2312" w:cs="仿宋_GB2312"/>
          <w:sz w:val="32"/>
          <w:szCs w:val="32"/>
          <w:highlight w:val="none"/>
        </w:rPr>
        <w:t>。</w:t>
      </w:r>
    </w:p>
    <w:p w14:paraId="030B5481">
      <w:pPr>
        <w:snapToGrid w:val="0"/>
        <w:spacing w:line="588" w:lineRule="exact"/>
        <w:jc w:val="center"/>
        <w:outlineLvl w:val="1"/>
        <w:rPr>
          <w:rFonts w:hint="default" w:ascii="Times New Roman" w:hAnsi="Times New Roman" w:eastAsia="楷体_GB2312" w:cs="Times New Roman"/>
          <w:sz w:val="32"/>
          <w:szCs w:val="32"/>
          <w:highlight w:val="none"/>
          <w:lang w:val="en-US" w:eastAsia="zh-CN"/>
        </w:rPr>
      </w:pPr>
      <w:bookmarkStart w:id="169" w:name="_Toc29456"/>
      <w:bookmarkStart w:id="170" w:name="_Toc27563"/>
      <w:bookmarkStart w:id="171" w:name="_Toc5839"/>
      <w:bookmarkStart w:id="172" w:name="_Toc12966"/>
      <w:bookmarkStart w:id="173" w:name="_Toc2911"/>
      <w:bookmarkStart w:id="174" w:name="_Toc22408"/>
      <w:bookmarkStart w:id="175" w:name="_Toc27538"/>
      <w:bookmarkStart w:id="176" w:name="_Toc16366"/>
      <w:bookmarkStart w:id="177" w:name="_Toc10617"/>
      <w:bookmarkStart w:id="178" w:name="_Toc10811"/>
      <w:bookmarkStart w:id="179" w:name="_Toc6424"/>
      <w:bookmarkStart w:id="180" w:name="_Toc18008"/>
      <w:bookmarkStart w:id="181" w:name="_Toc6899"/>
      <w:bookmarkStart w:id="182" w:name="_Toc9934"/>
      <w:bookmarkStart w:id="183" w:name="_Toc27560"/>
      <w:bookmarkStart w:id="184" w:name="_Toc4119"/>
      <w:bookmarkStart w:id="185" w:name="_Toc24085"/>
      <w:bookmarkStart w:id="186" w:name="_Toc732"/>
      <w:bookmarkStart w:id="187" w:name="_Toc2840"/>
      <w:bookmarkStart w:id="188" w:name="_Toc32529"/>
      <w:bookmarkStart w:id="189" w:name="_Toc17250"/>
      <w:bookmarkStart w:id="190" w:name="_Toc5063"/>
      <w:bookmarkStart w:id="191" w:name="_Toc13519"/>
      <w:bookmarkStart w:id="192" w:name="_Toc10775"/>
      <w:bookmarkStart w:id="193" w:name="_Toc168"/>
      <w:r>
        <w:rPr>
          <w:rFonts w:hint="eastAsia" w:ascii="Times New Roman" w:hAnsi="Times New Roman" w:eastAsia="楷体_GB2312" w:cs="Times New Roman"/>
          <w:sz w:val="32"/>
          <w:szCs w:val="32"/>
          <w:highlight w:val="none"/>
        </w:rPr>
        <w:t>第</w:t>
      </w:r>
      <w:r>
        <w:rPr>
          <w:rFonts w:hint="eastAsia" w:ascii="Times New Roman" w:hAnsi="Times New Roman" w:eastAsia="楷体_GB2312" w:cs="Times New Roman"/>
          <w:sz w:val="32"/>
          <w:szCs w:val="32"/>
          <w:highlight w:val="none"/>
          <w:lang w:val="en-US" w:eastAsia="zh-CN"/>
        </w:rPr>
        <w:t>二</w:t>
      </w:r>
      <w:r>
        <w:rPr>
          <w:rFonts w:hint="eastAsia" w:ascii="Times New Roman" w:hAnsi="Times New Roman" w:eastAsia="楷体_GB2312" w:cs="Times New Roman"/>
          <w:sz w:val="32"/>
          <w:szCs w:val="32"/>
          <w:highlight w:val="none"/>
        </w:rPr>
        <w:t xml:space="preserve">节 </w:t>
      </w:r>
      <w:r>
        <w:rPr>
          <w:rFonts w:hint="eastAsia" w:ascii="Times New Roman" w:hAnsi="Times New Roman" w:eastAsia="楷体_GB2312" w:cs="Times New Roman"/>
          <w:sz w:val="32"/>
          <w:szCs w:val="32"/>
          <w:highlight w:val="none"/>
          <w:lang w:val="en-US" w:eastAsia="zh-CN"/>
        </w:rPr>
        <w:t>结算依据</w:t>
      </w:r>
      <w:bookmarkEnd w:id="169"/>
      <w:bookmarkEnd w:id="170"/>
      <w:bookmarkEnd w:id="171"/>
      <w:bookmarkEnd w:id="172"/>
      <w:bookmarkEnd w:id="173"/>
      <w:bookmarkEnd w:id="174"/>
      <w:bookmarkEnd w:id="175"/>
      <w:bookmarkEnd w:id="176"/>
      <w:bookmarkEnd w:id="177"/>
      <w:bookmarkEnd w:id="178"/>
      <w:bookmarkEnd w:id="179"/>
      <w:bookmarkEnd w:id="180"/>
      <w:bookmarkEnd w:id="181"/>
      <w:r>
        <w:rPr>
          <w:rFonts w:hint="eastAsia" w:ascii="Times New Roman" w:hAnsi="Times New Roman" w:eastAsia="楷体_GB2312" w:cs="Times New Roman"/>
          <w:sz w:val="32"/>
          <w:szCs w:val="32"/>
          <w:highlight w:val="none"/>
          <w:lang w:val="en-US" w:eastAsia="zh-CN"/>
        </w:rPr>
        <w:t>编制与发布</w:t>
      </w:r>
      <w:bookmarkEnd w:id="182"/>
      <w:bookmarkEnd w:id="183"/>
      <w:bookmarkEnd w:id="184"/>
      <w:bookmarkEnd w:id="185"/>
    </w:p>
    <w:bookmarkEnd w:id="186"/>
    <w:bookmarkEnd w:id="187"/>
    <w:bookmarkEnd w:id="188"/>
    <w:bookmarkEnd w:id="189"/>
    <w:bookmarkEnd w:id="190"/>
    <w:bookmarkEnd w:id="191"/>
    <w:bookmarkEnd w:id="192"/>
    <w:bookmarkEnd w:id="193"/>
    <w:p w14:paraId="3BDE8E8F">
      <w:pPr>
        <w:pStyle w:val="18"/>
        <w:numPr>
          <w:ilvl w:val="0"/>
          <w:numId w:val="1"/>
        </w:numPr>
        <w:snapToGrid w:val="0"/>
        <w:spacing w:line="588" w:lineRule="exact"/>
        <w:ind w:left="0" w:firstLine="640" w:firstLineChars="200"/>
        <w:jc w:val="both"/>
        <w:rPr>
          <w:rFonts w:ascii="Times New Roman" w:hAnsi="Times New Roman" w:eastAsia="仿宋_GB2312" w:cs="Times New Roman"/>
          <w:bCs/>
          <w:sz w:val="32"/>
          <w:szCs w:val="32"/>
          <w:highlight w:val="none"/>
        </w:rPr>
      </w:pPr>
      <w:r>
        <w:rPr>
          <w:rFonts w:hint="eastAsia" w:ascii="Times New Roman" w:hAnsi="Times New Roman" w:eastAsia="仿宋_GB2312" w:cs="Times New Roman"/>
          <w:bCs/>
          <w:sz w:val="32"/>
          <w:szCs w:val="32"/>
          <w:highlight w:val="none"/>
          <w:lang w:val="en-US" w:eastAsia="zh-CN"/>
        </w:rPr>
        <w:t>电力交易机构依据有关</w:t>
      </w:r>
      <w:r>
        <w:rPr>
          <w:rFonts w:hint="eastAsia" w:ascii="Times New Roman" w:hAnsi="Times New Roman" w:eastAsia="仿宋_GB2312" w:cs="Times New Roman"/>
          <w:bCs/>
          <w:sz w:val="32"/>
          <w:szCs w:val="32"/>
          <w:highlight w:val="none"/>
          <w:lang w:eastAsia="zh-CN"/>
        </w:rPr>
        <w:t>政策文件、市场规则</w:t>
      </w:r>
      <w:r>
        <w:rPr>
          <w:rFonts w:hint="default" w:ascii="Times New Roman" w:hAnsi="Times New Roman" w:eastAsia="仿宋_GB2312" w:cs="Times New Roman"/>
          <w:bCs/>
          <w:sz w:val="32"/>
          <w:szCs w:val="32"/>
          <w:highlight w:val="none"/>
          <w:lang w:val="en-US" w:eastAsia="zh-CN"/>
        </w:rPr>
        <w:t>和</w:t>
      </w:r>
      <w:r>
        <w:rPr>
          <w:rFonts w:hint="eastAsia" w:ascii="Times New Roman" w:hAnsi="Times New Roman" w:eastAsia="仿宋_GB2312" w:cs="Times New Roman"/>
          <w:bCs/>
          <w:sz w:val="32"/>
          <w:szCs w:val="32"/>
          <w:highlight w:val="none"/>
          <w:lang w:val="en-US" w:eastAsia="zh-CN"/>
        </w:rPr>
        <w:t>结算</w:t>
      </w:r>
      <w:r>
        <w:rPr>
          <w:rFonts w:hint="eastAsia" w:ascii="Times New Roman" w:hAnsi="Times New Roman" w:eastAsia="仿宋_GB2312" w:cs="Times New Roman"/>
          <w:bCs/>
          <w:sz w:val="32"/>
          <w:szCs w:val="32"/>
          <w:highlight w:val="none"/>
          <w:lang w:eastAsia="zh-CN"/>
        </w:rPr>
        <w:t>基础数据</w:t>
      </w:r>
      <w:r>
        <w:rPr>
          <w:rFonts w:hint="eastAsia" w:ascii="Times New Roman" w:hAnsi="Times New Roman" w:eastAsia="仿宋_GB2312" w:cs="Times New Roman"/>
          <w:bCs/>
          <w:sz w:val="32"/>
          <w:szCs w:val="32"/>
          <w:highlight w:val="none"/>
        </w:rPr>
        <w:t>，对市场</w:t>
      </w:r>
      <w:r>
        <w:rPr>
          <w:rFonts w:hint="eastAsia" w:ascii="Times New Roman" w:hAnsi="Times New Roman" w:eastAsia="仿宋_GB2312" w:cs="Times New Roman"/>
          <w:bCs/>
          <w:sz w:val="32"/>
          <w:szCs w:val="32"/>
          <w:highlight w:val="none"/>
          <w:lang w:eastAsia="zh-CN"/>
        </w:rPr>
        <w:t>经营</w:t>
      </w:r>
      <w:r>
        <w:rPr>
          <w:rFonts w:hint="eastAsia" w:ascii="Times New Roman" w:hAnsi="Times New Roman" w:eastAsia="仿宋_GB2312" w:cs="Times New Roman"/>
          <w:bCs/>
          <w:sz w:val="32"/>
          <w:szCs w:val="32"/>
          <w:highlight w:val="none"/>
        </w:rPr>
        <w:t>主体开展</w:t>
      </w:r>
      <w:r>
        <w:rPr>
          <w:rFonts w:hint="eastAsia" w:ascii="Times New Roman" w:hAnsi="Times New Roman" w:eastAsia="仿宋_GB2312" w:cs="Times New Roman"/>
          <w:bCs/>
          <w:sz w:val="32"/>
          <w:szCs w:val="32"/>
          <w:highlight w:val="none"/>
          <w:u w:val="none"/>
          <w:lang w:val="en-US" w:eastAsia="zh-CN"/>
        </w:rPr>
        <w:t>量价</w:t>
      </w:r>
      <w:r>
        <w:rPr>
          <w:rFonts w:hint="eastAsia" w:ascii="Times New Roman" w:hAnsi="Times New Roman" w:eastAsia="仿宋_GB2312" w:cs="Times New Roman"/>
          <w:bCs/>
          <w:sz w:val="32"/>
          <w:szCs w:val="32"/>
          <w:highlight w:val="none"/>
          <w:lang w:eastAsia="zh-CN"/>
        </w:rPr>
        <w:t>清分、</w:t>
      </w:r>
      <w:r>
        <w:rPr>
          <w:rFonts w:hint="eastAsia" w:ascii="Times New Roman" w:hAnsi="Times New Roman" w:eastAsia="仿宋_GB2312" w:cs="Times New Roman"/>
          <w:bCs/>
          <w:sz w:val="32"/>
          <w:szCs w:val="32"/>
          <w:highlight w:val="none"/>
          <w:lang w:val="en-US" w:eastAsia="zh-CN"/>
        </w:rPr>
        <w:t>费用</w:t>
      </w:r>
      <w:r>
        <w:rPr>
          <w:rFonts w:hint="eastAsia" w:ascii="Times New Roman" w:hAnsi="Times New Roman" w:eastAsia="仿宋_GB2312" w:cs="Times New Roman"/>
          <w:bCs/>
          <w:sz w:val="32"/>
          <w:szCs w:val="32"/>
          <w:highlight w:val="none"/>
          <w:lang w:eastAsia="zh-CN"/>
        </w:rPr>
        <w:t>计算</w:t>
      </w:r>
      <w:r>
        <w:rPr>
          <w:rFonts w:hint="eastAsia" w:ascii="Times New Roman" w:hAnsi="Times New Roman" w:eastAsia="仿宋_GB2312" w:cs="Times New Roman"/>
          <w:bCs/>
          <w:sz w:val="32"/>
          <w:szCs w:val="32"/>
          <w:highlight w:val="none"/>
        </w:rPr>
        <w:t>与校核</w:t>
      </w:r>
      <w:r>
        <w:rPr>
          <w:rFonts w:hint="eastAsia" w:ascii="Times New Roman" w:hAnsi="Times New Roman" w:eastAsia="仿宋_GB2312" w:cs="Times New Roman"/>
          <w:bCs/>
          <w:sz w:val="32"/>
          <w:szCs w:val="32"/>
          <w:highlight w:val="none"/>
          <w:lang w:eastAsia="zh-CN"/>
        </w:rPr>
        <w:t>，</w:t>
      </w:r>
      <w:r>
        <w:rPr>
          <w:rFonts w:hint="eastAsia" w:ascii="Times New Roman" w:hAnsi="Times New Roman" w:eastAsia="仿宋_GB2312" w:cs="Times New Roman"/>
          <w:bCs/>
          <w:sz w:val="32"/>
          <w:szCs w:val="32"/>
          <w:highlight w:val="none"/>
          <w:lang w:val="en-US" w:eastAsia="zh-CN"/>
        </w:rPr>
        <w:t>编制形成结算依据</w:t>
      </w:r>
      <w:r>
        <w:rPr>
          <w:rFonts w:hint="eastAsia" w:ascii="Times New Roman" w:hAnsi="Times New Roman" w:eastAsia="仿宋_GB2312" w:cs="Times New Roman"/>
          <w:bCs/>
          <w:sz w:val="32"/>
          <w:szCs w:val="32"/>
          <w:highlight w:val="none"/>
        </w:rPr>
        <w:t>。</w:t>
      </w:r>
    </w:p>
    <w:p w14:paraId="2E4E71C4">
      <w:pPr>
        <w:pStyle w:val="18"/>
        <w:numPr>
          <w:ilvl w:val="0"/>
          <w:numId w:val="1"/>
        </w:numPr>
        <w:snapToGrid w:val="0"/>
        <w:spacing w:line="588" w:lineRule="exact"/>
        <w:ind w:left="0" w:firstLine="640" w:firstLineChars="200"/>
        <w:jc w:val="both"/>
        <w:rPr>
          <w:rFonts w:ascii="Times New Roman" w:hAnsi="Times New Roman" w:eastAsia="仿宋_GB2312" w:cs="Times New Roman"/>
          <w:sz w:val="32"/>
          <w:szCs w:val="32"/>
          <w:highlight w:val="none"/>
        </w:rPr>
      </w:pPr>
      <w:r>
        <w:rPr>
          <w:rFonts w:hint="eastAsia" w:ascii="Times New Roman" w:hAnsi="Times New Roman" w:eastAsia="仿宋_GB2312" w:cs="Times New Roman"/>
          <w:bCs/>
          <w:sz w:val="32"/>
          <w:szCs w:val="32"/>
          <w:highlight w:val="none"/>
        </w:rPr>
        <w:t>电力交易机构</w:t>
      </w:r>
      <w:r>
        <w:rPr>
          <w:rFonts w:hint="eastAsia" w:ascii="Times New Roman" w:hAnsi="Times New Roman" w:eastAsia="仿宋_GB2312" w:cs="Times New Roman"/>
          <w:bCs/>
          <w:sz w:val="32"/>
          <w:szCs w:val="32"/>
          <w:highlight w:val="none"/>
          <w:lang w:eastAsia="zh-CN"/>
        </w:rPr>
        <w:t>开展零售市场结算时，应</w:t>
      </w:r>
      <w:r>
        <w:rPr>
          <w:rFonts w:hint="eastAsia" w:ascii="Times New Roman" w:hAnsi="Times New Roman" w:eastAsia="仿宋_GB2312" w:cs="Times New Roman"/>
          <w:bCs/>
          <w:sz w:val="32"/>
          <w:szCs w:val="32"/>
          <w:highlight w:val="none"/>
          <w:lang w:val="en-US" w:eastAsia="zh-CN"/>
        </w:rPr>
        <w:t>依据售电公司与零售用户</w:t>
      </w:r>
      <w:r>
        <w:rPr>
          <w:rFonts w:hint="eastAsia" w:ascii="Times New Roman" w:hAnsi="Times New Roman" w:eastAsia="仿宋_GB2312" w:cs="Times New Roman"/>
          <w:bCs/>
          <w:sz w:val="32"/>
          <w:szCs w:val="32"/>
          <w:highlight w:val="none"/>
        </w:rPr>
        <w:t>在</w:t>
      </w:r>
      <w:r>
        <w:rPr>
          <w:rFonts w:hint="eastAsia" w:ascii="Times New Roman" w:hAnsi="Times New Roman" w:eastAsia="仿宋_GB2312" w:cs="仿宋_GB2312"/>
          <w:sz w:val="32"/>
          <w:szCs w:val="32"/>
          <w:highlight w:val="none"/>
        </w:rPr>
        <w:t>电力交易平台</w:t>
      </w:r>
      <w:r>
        <w:rPr>
          <w:rFonts w:hint="eastAsia" w:ascii="Times New Roman" w:hAnsi="Times New Roman" w:eastAsia="仿宋_GB2312" w:cs="Times New Roman"/>
          <w:bCs/>
          <w:sz w:val="32"/>
          <w:szCs w:val="32"/>
          <w:highlight w:val="none"/>
        </w:rPr>
        <w:t>填报的</w:t>
      </w:r>
      <w:r>
        <w:rPr>
          <w:rFonts w:hint="eastAsia" w:ascii="Times New Roman" w:hAnsi="Times New Roman" w:eastAsia="仿宋_GB2312" w:cs="Times New Roman"/>
          <w:bCs/>
          <w:sz w:val="32"/>
          <w:szCs w:val="32"/>
          <w:highlight w:val="none"/>
          <w:lang w:val="en-US" w:eastAsia="zh-CN"/>
        </w:rPr>
        <w:t>零售</w:t>
      </w:r>
      <w:r>
        <w:rPr>
          <w:rFonts w:hint="eastAsia" w:ascii="Times New Roman" w:hAnsi="Times New Roman" w:eastAsia="仿宋_GB2312" w:cs="Times New Roman"/>
          <w:bCs/>
          <w:sz w:val="32"/>
          <w:szCs w:val="32"/>
          <w:highlight w:val="none"/>
        </w:rPr>
        <w:t>合同</w:t>
      </w:r>
      <w:r>
        <w:rPr>
          <w:rFonts w:hint="eastAsia" w:ascii="Times New Roman" w:hAnsi="Times New Roman" w:eastAsia="仿宋_GB2312" w:cs="Times New Roman"/>
          <w:bCs/>
          <w:sz w:val="32"/>
          <w:szCs w:val="32"/>
          <w:highlight w:val="none"/>
          <w:lang w:val="en-US" w:eastAsia="zh-CN"/>
        </w:rPr>
        <w:t>形成结算依据</w:t>
      </w:r>
      <w:r>
        <w:rPr>
          <w:rFonts w:hint="eastAsia" w:ascii="Times New Roman" w:hAnsi="Times New Roman" w:eastAsia="仿宋_GB2312" w:cs="Times New Roman"/>
          <w:bCs/>
          <w:sz w:val="32"/>
          <w:szCs w:val="32"/>
          <w:highlight w:val="none"/>
          <w:lang w:eastAsia="zh-CN"/>
        </w:rPr>
        <w:t>。其中，售电公司批发、零售市场应按照市场规则分开结算。</w:t>
      </w:r>
      <w:r>
        <w:rPr>
          <w:rFonts w:hint="eastAsia" w:ascii="Times New Roman" w:hAnsi="Times New Roman" w:eastAsia="仿宋_GB2312" w:cs="Times New Roman"/>
          <w:bCs/>
          <w:sz w:val="32"/>
          <w:szCs w:val="32"/>
        </w:rPr>
        <w:t>售电公司批发市场</w:t>
      </w:r>
      <w:r>
        <w:rPr>
          <w:rFonts w:hint="eastAsia" w:ascii="Times New Roman" w:hAnsi="Times New Roman" w:eastAsia="仿宋_GB2312" w:cs="Times New Roman"/>
          <w:bCs/>
          <w:sz w:val="32"/>
          <w:szCs w:val="32"/>
          <w:lang w:eastAsia="zh-CN"/>
        </w:rPr>
        <w:t>费用</w:t>
      </w:r>
      <w:r>
        <w:rPr>
          <w:rFonts w:hint="eastAsia" w:ascii="Times New Roman" w:hAnsi="Times New Roman" w:eastAsia="仿宋_GB2312" w:cs="Times New Roman"/>
          <w:bCs/>
          <w:sz w:val="32"/>
          <w:szCs w:val="32"/>
        </w:rPr>
        <w:t>按批发市场交易规则计算，零售市场</w:t>
      </w:r>
      <w:r>
        <w:rPr>
          <w:rFonts w:hint="eastAsia" w:ascii="Times New Roman" w:hAnsi="Times New Roman" w:eastAsia="仿宋_GB2312" w:cs="Times New Roman"/>
          <w:bCs/>
          <w:sz w:val="32"/>
          <w:szCs w:val="32"/>
          <w:lang w:eastAsia="zh-CN"/>
        </w:rPr>
        <w:t>费用</w:t>
      </w:r>
      <w:r>
        <w:rPr>
          <w:rFonts w:hint="eastAsia" w:ascii="Times New Roman" w:hAnsi="Times New Roman" w:eastAsia="仿宋_GB2312" w:cs="Times New Roman"/>
          <w:bCs/>
          <w:sz w:val="32"/>
          <w:szCs w:val="32"/>
        </w:rPr>
        <w:t>为其所代理的零售用户结算电费之和</w:t>
      </w:r>
      <w:r>
        <w:rPr>
          <w:rFonts w:hint="eastAsia" w:ascii="Times New Roman" w:hAnsi="Times New Roman" w:eastAsia="仿宋_GB2312" w:cs="宋体"/>
          <w:kern w:val="0"/>
          <w:sz w:val="32"/>
          <w:szCs w:val="32"/>
          <w:highlight w:val="none"/>
        </w:rPr>
        <w:t>。</w:t>
      </w:r>
    </w:p>
    <w:p w14:paraId="73358D3D">
      <w:pPr>
        <w:pStyle w:val="18"/>
        <w:numPr>
          <w:ilvl w:val="-1"/>
          <w:numId w:val="0"/>
        </w:numPr>
        <w:snapToGrid w:val="0"/>
        <w:spacing w:line="588" w:lineRule="exact"/>
        <w:ind w:left="0" w:firstLine="640" w:firstLineChars="200"/>
        <w:jc w:val="both"/>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highlight w:val="none"/>
        </w:rPr>
        <w:t>因保障电力系统安全、维护市场秩序以及市场机制设计</w:t>
      </w:r>
      <w:r>
        <w:rPr>
          <w:rFonts w:hint="eastAsia" w:ascii="Times New Roman" w:hAnsi="Times New Roman" w:eastAsia="仿宋_GB2312" w:cs="Times New Roman"/>
          <w:bCs/>
          <w:sz w:val="32"/>
          <w:szCs w:val="32"/>
          <w:highlight w:val="none"/>
          <w:lang w:eastAsia="zh-CN"/>
        </w:rPr>
        <w:t>、系统阻塞</w:t>
      </w:r>
      <w:r>
        <w:rPr>
          <w:rFonts w:hint="eastAsia" w:ascii="Times New Roman" w:hAnsi="Times New Roman" w:eastAsia="仿宋_GB2312" w:cs="Times New Roman"/>
          <w:bCs/>
          <w:sz w:val="32"/>
          <w:szCs w:val="32"/>
          <w:highlight w:val="none"/>
        </w:rPr>
        <w:t>等因素产生的补偿、考核、平衡或调节等相关费用，应通过</w:t>
      </w:r>
      <w:r>
        <w:rPr>
          <w:rFonts w:hint="eastAsia" w:ascii="Times New Roman" w:hAnsi="Times New Roman" w:eastAsia="仿宋_GB2312" w:cs="Times New Roman"/>
          <w:bCs/>
          <w:sz w:val="32"/>
          <w:szCs w:val="32"/>
          <w:highlight w:val="none"/>
          <w:lang w:eastAsia="zh-CN"/>
        </w:rPr>
        <w:t>事前明确的</w:t>
      </w:r>
      <w:r>
        <w:rPr>
          <w:rFonts w:hint="eastAsia" w:ascii="Times New Roman" w:hAnsi="Times New Roman" w:eastAsia="仿宋_GB2312" w:cs="Times New Roman"/>
          <w:bCs/>
          <w:sz w:val="32"/>
          <w:szCs w:val="32"/>
          <w:highlight w:val="none"/>
        </w:rPr>
        <w:t>分摊返还等方式进行疏导</w:t>
      </w:r>
      <w:r>
        <w:rPr>
          <w:rFonts w:hint="eastAsia" w:ascii="Times New Roman" w:hAnsi="Times New Roman" w:eastAsia="仿宋_GB2312" w:cs="Times New Roman"/>
          <w:bCs/>
          <w:sz w:val="32"/>
          <w:szCs w:val="32"/>
          <w:highlight w:val="none"/>
          <w:lang w:eastAsia="zh-CN"/>
        </w:rPr>
        <w:t>。</w:t>
      </w:r>
    </w:p>
    <w:p w14:paraId="2A0FE267">
      <w:pPr>
        <w:pStyle w:val="18"/>
        <w:numPr>
          <w:ilvl w:val="0"/>
          <w:numId w:val="1"/>
        </w:numPr>
        <w:snapToGrid w:val="0"/>
        <w:spacing w:line="588" w:lineRule="exact"/>
        <w:ind w:left="0" w:firstLine="640" w:firstLineChars="200"/>
        <w:jc w:val="both"/>
        <w:rPr>
          <w:rFonts w:ascii="Times New Roman" w:hAnsi="Times New Roman" w:eastAsia="仿宋_GB2312" w:cs="Times New Roman"/>
          <w:bCs/>
          <w:sz w:val="32"/>
          <w:szCs w:val="32"/>
          <w:highlight w:val="none"/>
        </w:rPr>
      </w:pPr>
      <w:r>
        <w:rPr>
          <w:rFonts w:hint="eastAsia" w:ascii="Times New Roman" w:hAnsi="Times New Roman" w:eastAsia="仿宋_GB2312" w:cs="Times New Roman"/>
          <w:bCs/>
          <w:sz w:val="32"/>
          <w:szCs w:val="32"/>
          <w:highlight w:val="none"/>
          <w:lang w:val="en-US" w:eastAsia="zh-CN"/>
        </w:rPr>
        <w:t>电力辅助服务相关费用</w:t>
      </w:r>
      <w:r>
        <w:rPr>
          <w:rFonts w:hint="eastAsia" w:ascii="Times New Roman" w:hAnsi="Times New Roman" w:eastAsia="仿宋_GB2312" w:cs="Times New Roman"/>
          <w:bCs/>
          <w:sz w:val="32"/>
          <w:szCs w:val="32"/>
          <w:highlight w:val="none"/>
        </w:rPr>
        <w:t>由电力调度机构计算</w:t>
      </w:r>
      <w:r>
        <w:rPr>
          <w:rFonts w:hint="eastAsia" w:ascii="Times New Roman" w:hAnsi="Times New Roman" w:eastAsia="仿宋_GB2312" w:cs="Times New Roman"/>
          <w:bCs/>
          <w:sz w:val="32"/>
          <w:szCs w:val="32"/>
          <w:highlight w:val="none"/>
          <w:lang w:eastAsia="zh-CN"/>
        </w:rPr>
        <w:t>，于每月第</w:t>
      </w:r>
      <w:r>
        <w:rPr>
          <w:rFonts w:hint="eastAsia" w:ascii="Times New Roman" w:hAnsi="Times New Roman" w:eastAsia="仿宋_GB2312" w:cs="Times New Roman"/>
          <w:bCs/>
          <w:sz w:val="32"/>
          <w:szCs w:val="32"/>
          <w:highlight w:val="none"/>
          <w:lang w:val="en-US" w:eastAsia="zh-CN"/>
        </w:rPr>
        <w:t>3个</w:t>
      </w:r>
      <w:r>
        <w:rPr>
          <w:rFonts w:hint="eastAsia" w:ascii="Times New Roman" w:hAnsi="Times New Roman" w:eastAsia="仿宋_GB2312" w:cs="Times New Roman"/>
          <w:bCs/>
          <w:sz w:val="32"/>
          <w:szCs w:val="32"/>
          <w:highlight w:val="none"/>
          <w:lang w:val="en-US" w:eastAsia="zh-CN"/>
        </w:rPr>
        <w:t>工作日内</w:t>
      </w:r>
      <w:r>
        <w:rPr>
          <w:rFonts w:hint="eastAsia" w:ascii="Times New Roman" w:hAnsi="Times New Roman" w:eastAsia="仿宋_GB2312" w:cs="Times New Roman"/>
          <w:bCs/>
          <w:sz w:val="32"/>
          <w:szCs w:val="32"/>
          <w:highlight w:val="none"/>
        </w:rPr>
        <w:t>提交</w:t>
      </w:r>
      <w:r>
        <w:rPr>
          <w:rFonts w:hint="eastAsia" w:ascii="Times New Roman" w:hAnsi="Times New Roman" w:eastAsia="仿宋_GB2312" w:cs="Times New Roman"/>
          <w:bCs/>
          <w:sz w:val="32"/>
          <w:szCs w:val="32"/>
          <w:highlight w:val="none"/>
          <w:lang w:val="en-US" w:eastAsia="zh-CN"/>
        </w:rPr>
        <w:t>至</w:t>
      </w:r>
      <w:r>
        <w:rPr>
          <w:rFonts w:hint="eastAsia" w:ascii="Times New Roman" w:hAnsi="Times New Roman" w:eastAsia="仿宋_GB2312" w:cs="Times New Roman"/>
          <w:bCs/>
          <w:sz w:val="32"/>
          <w:szCs w:val="32"/>
          <w:highlight w:val="none"/>
        </w:rPr>
        <w:t>电力交易机构，</w:t>
      </w:r>
      <w:r>
        <w:rPr>
          <w:rFonts w:hint="eastAsia" w:ascii="Times New Roman" w:hAnsi="Times New Roman" w:eastAsia="仿宋_GB2312" w:cs="Times New Roman"/>
          <w:bCs/>
          <w:sz w:val="32"/>
          <w:szCs w:val="32"/>
          <w:highlight w:val="none"/>
          <w:lang w:eastAsia="zh-CN"/>
        </w:rPr>
        <w:t>由</w:t>
      </w:r>
      <w:r>
        <w:rPr>
          <w:rFonts w:hint="eastAsia" w:ascii="Times New Roman" w:hAnsi="Times New Roman" w:eastAsia="仿宋_GB2312" w:cs="Times New Roman"/>
          <w:bCs/>
          <w:sz w:val="32"/>
          <w:szCs w:val="32"/>
          <w:highlight w:val="none"/>
          <w:lang w:val="en-US" w:eastAsia="zh-CN"/>
        </w:rPr>
        <w:t>电力交易机构</w:t>
      </w:r>
      <w:r>
        <w:rPr>
          <w:rFonts w:hint="eastAsia" w:ascii="Times New Roman" w:hAnsi="Times New Roman" w:eastAsia="仿宋_GB2312" w:cs="Times New Roman"/>
          <w:bCs/>
          <w:sz w:val="32"/>
          <w:szCs w:val="32"/>
          <w:highlight w:val="none"/>
        </w:rPr>
        <w:t>合并出具</w:t>
      </w:r>
      <w:r>
        <w:rPr>
          <w:rFonts w:hint="eastAsia" w:ascii="Times New Roman" w:hAnsi="Times New Roman" w:eastAsia="仿宋_GB2312" w:cs="Times New Roman"/>
          <w:bCs/>
          <w:sz w:val="32"/>
          <w:szCs w:val="32"/>
          <w:highlight w:val="none"/>
          <w:lang w:val="en-US" w:eastAsia="zh-CN"/>
        </w:rPr>
        <w:t>结算依据</w:t>
      </w:r>
      <w:r>
        <w:rPr>
          <w:rFonts w:hint="eastAsia" w:ascii="Times New Roman" w:hAnsi="Times New Roman" w:eastAsia="仿宋_GB2312" w:cs="Times New Roman"/>
          <w:bCs/>
          <w:sz w:val="32"/>
          <w:szCs w:val="32"/>
          <w:highlight w:val="none"/>
        </w:rPr>
        <w:t>。</w:t>
      </w:r>
    </w:p>
    <w:p w14:paraId="1C1F68AC">
      <w:pPr>
        <w:pStyle w:val="18"/>
        <w:numPr>
          <w:ilvl w:val="0"/>
          <w:numId w:val="1"/>
        </w:numPr>
        <w:snapToGrid w:val="0"/>
        <w:spacing w:line="588" w:lineRule="exact"/>
        <w:ind w:firstLine="640" w:firstLineChars="200"/>
        <w:jc w:val="both"/>
        <w:rPr>
          <w:rFonts w:hint="eastAsia" w:ascii="Times New Roman" w:hAnsi="Times New Roman" w:eastAsia="仿宋_GB2312" w:cs="Times New Roman"/>
          <w:bCs/>
          <w:sz w:val="32"/>
          <w:szCs w:val="32"/>
          <w:highlight w:val="none"/>
        </w:rPr>
      </w:pPr>
      <w:r>
        <w:rPr>
          <w:rFonts w:hint="eastAsia" w:ascii="Times New Roman" w:hAnsi="Times New Roman" w:eastAsia="仿宋_GB2312" w:cs="Times New Roman"/>
          <w:bCs/>
          <w:sz w:val="32"/>
          <w:szCs w:val="32"/>
          <w:highlight w:val="none"/>
          <w:lang w:val="en-US" w:eastAsia="zh-CN"/>
        </w:rPr>
        <w:t>市场经营主体发生销户、过户、分户、并户等用电主体变更或改类、改压等与交易相关的用电性质变更时，电网企业应在下一结算周期前将变更情况、分段计量数据等推送至电力交易机构，电力交易机构将根据用电信息变更情况，对其进行分段结算，并将结算依据推送至电网企业，电网企业据此开展电费结算。</w:t>
      </w:r>
    </w:p>
    <w:p w14:paraId="4FB8A08E">
      <w:pPr>
        <w:pStyle w:val="18"/>
        <w:numPr>
          <w:ilvl w:val="0"/>
          <w:numId w:val="1"/>
        </w:numPr>
        <w:snapToGrid w:val="0"/>
        <w:spacing w:line="588" w:lineRule="exact"/>
        <w:ind w:firstLine="640" w:firstLineChars="200"/>
        <w:jc w:val="left"/>
        <w:rPr>
          <w:rFonts w:ascii="Times New Roman" w:hAnsi="Times New Roman" w:eastAsia="仿宋_GB2312" w:cs="Times New Roman"/>
          <w:bCs/>
          <w:sz w:val="32"/>
          <w:szCs w:val="32"/>
          <w:highlight w:val="none"/>
        </w:rPr>
      </w:pPr>
      <w:r>
        <w:rPr>
          <w:rFonts w:hint="eastAsia" w:ascii="Times New Roman" w:hAnsi="Times New Roman" w:eastAsia="仿宋_GB2312" w:cs="Times New Roman"/>
          <w:bCs/>
          <w:sz w:val="32"/>
          <w:szCs w:val="32"/>
          <w:highlight w:val="none"/>
          <w:lang w:val="en-US" w:eastAsia="zh-CN"/>
        </w:rPr>
        <w:t>电力交易机构应于每月</w:t>
      </w:r>
      <w:r>
        <w:rPr>
          <w:rFonts w:hint="eastAsia" w:ascii="Times New Roman" w:hAnsi="Times New Roman" w:eastAsia="仿宋_GB2312" w:cs="Times New Roman"/>
          <w:bCs/>
          <w:sz w:val="32"/>
          <w:szCs w:val="32"/>
          <w:highlight w:val="none"/>
          <w:lang w:eastAsia="zh-CN"/>
        </w:rPr>
        <w:t>第</w:t>
      </w:r>
      <w:r>
        <w:rPr>
          <w:rFonts w:hint="default" w:ascii="Times New Roman" w:hAnsi="Times New Roman" w:eastAsia="仿宋_GB2312" w:cs="Times New Roman"/>
          <w:bCs/>
          <w:sz w:val="32"/>
          <w:szCs w:val="32"/>
          <w:highlight w:val="none"/>
          <w:lang w:val="en-US" w:eastAsia="zh-CN"/>
        </w:rPr>
        <w:t>5</w:t>
      </w:r>
      <w:r>
        <w:rPr>
          <w:rFonts w:hint="eastAsia" w:ascii="Times New Roman" w:hAnsi="Times New Roman" w:eastAsia="仿宋_GB2312" w:cs="Times New Roman"/>
          <w:bCs/>
          <w:sz w:val="32"/>
          <w:szCs w:val="32"/>
          <w:highlight w:val="none"/>
          <w:lang w:val="en-US" w:eastAsia="zh-CN"/>
        </w:rPr>
        <w:t>个工作日前向市场经营主体发布结算依据（核对版），市场</w:t>
      </w:r>
      <w:r>
        <w:rPr>
          <w:rFonts w:hint="eastAsia" w:ascii="Times New Roman" w:hAnsi="Times New Roman" w:eastAsia="仿宋_GB2312" w:cs="Times New Roman"/>
          <w:bCs/>
          <w:sz w:val="32"/>
          <w:szCs w:val="32"/>
          <w:highlight w:val="none"/>
        </w:rPr>
        <w:t>经营主体</w:t>
      </w:r>
      <w:r>
        <w:rPr>
          <w:rFonts w:hint="eastAsia" w:ascii="Times New Roman" w:hAnsi="Times New Roman" w:eastAsia="仿宋_GB2312" w:cs="Times New Roman"/>
          <w:bCs/>
          <w:sz w:val="32"/>
          <w:szCs w:val="32"/>
          <w:highlight w:val="none"/>
          <w:lang w:val="en-US" w:eastAsia="zh-CN"/>
        </w:rPr>
        <w:t>应在1个工作日内完成</w:t>
      </w:r>
      <w:r>
        <w:rPr>
          <w:rFonts w:hint="eastAsia" w:ascii="Times New Roman" w:hAnsi="Times New Roman" w:eastAsia="仿宋_GB2312" w:cs="Times New Roman"/>
          <w:bCs/>
          <w:sz w:val="32"/>
          <w:szCs w:val="32"/>
          <w:highlight w:val="none"/>
        </w:rPr>
        <w:t>核对</w:t>
      </w:r>
      <w:r>
        <w:rPr>
          <w:rFonts w:hint="eastAsia" w:ascii="Times New Roman" w:hAnsi="Times New Roman" w:eastAsia="仿宋_GB2312" w:cs="Times New Roman"/>
          <w:bCs/>
          <w:sz w:val="32"/>
          <w:szCs w:val="32"/>
          <w:highlight w:val="none"/>
          <w:lang w:eastAsia="zh-CN"/>
        </w:rPr>
        <w:t>、异议反馈（若有）</w:t>
      </w:r>
      <w:r>
        <w:rPr>
          <w:rFonts w:hint="eastAsia" w:ascii="Times New Roman" w:hAnsi="Times New Roman" w:eastAsia="仿宋_GB2312" w:cs="Times New Roman"/>
          <w:bCs/>
          <w:sz w:val="32"/>
          <w:szCs w:val="32"/>
          <w:highlight w:val="none"/>
        </w:rPr>
        <w:t>和确认</w:t>
      </w:r>
      <w:r>
        <w:rPr>
          <w:rFonts w:hint="eastAsia" w:ascii="Times New Roman" w:hAnsi="Times New Roman" w:eastAsia="仿宋_GB2312" w:cs="Times New Roman"/>
          <w:bCs/>
          <w:sz w:val="32"/>
          <w:szCs w:val="32"/>
          <w:highlight w:val="none"/>
          <w:lang w:eastAsia="zh-CN"/>
        </w:rPr>
        <w:t>，逾期视为确认。</w:t>
      </w:r>
      <w:r>
        <w:rPr>
          <w:rFonts w:hint="eastAsia" w:ascii="Times New Roman" w:hAnsi="Times New Roman" w:eastAsia="仿宋_GB2312" w:cs="Times New Roman"/>
          <w:bCs/>
          <w:sz w:val="32"/>
          <w:szCs w:val="32"/>
          <w:highlight w:val="none"/>
          <w:lang w:val="en-US" w:eastAsia="zh-CN"/>
        </w:rPr>
        <w:t>市场</w:t>
      </w:r>
      <w:r>
        <w:rPr>
          <w:rFonts w:ascii="Times New Roman" w:hAnsi="Times New Roman" w:eastAsia="仿宋_GB2312" w:cs="Times New Roman"/>
          <w:bCs/>
          <w:sz w:val="32"/>
          <w:szCs w:val="32"/>
          <w:highlight w:val="none"/>
        </w:rPr>
        <w:t>经营主体提出</w:t>
      </w:r>
      <w:r>
        <w:rPr>
          <w:rFonts w:hint="eastAsia" w:ascii="Times New Roman" w:hAnsi="Times New Roman" w:eastAsia="仿宋_GB2312" w:cs="Times New Roman"/>
          <w:bCs/>
          <w:sz w:val="32"/>
          <w:szCs w:val="32"/>
          <w:highlight w:val="none"/>
        </w:rPr>
        <w:t>异议</w:t>
      </w:r>
      <w:r>
        <w:rPr>
          <w:rFonts w:hint="eastAsia" w:ascii="Times New Roman" w:hAnsi="Times New Roman" w:eastAsia="仿宋_GB2312" w:cs="Times New Roman"/>
          <w:bCs/>
          <w:sz w:val="32"/>
          <w:szCs w:val="32"/>
          <w:highlight w:val="none"/>
          <w:lang w:eastAsia="zh-CN"/>
        </w:rPr>
        <w:t>的</w:t>
      </w:r>
      <w:r>
        <w:rPr>
          <w:rFonts w:ascii="Times New Roman" w:hAnsi="Times New Roman" w:eastAsia="仿宋_GB2312" w:cs="Times New Roman"/>
          <w:bCs/>
          <w:sz w:val="32"/>
          <w:szCs w:val="32"/>
          <w:highlight w:val="none"/>
        </w:rPr>
        <w:t>，</w:t>
      </w:r>
      <w:r>
        <w:rPr>
          <w:rFonts w:hint="eastAsia" w:ascii="Times New Roman" w:hAnsi="Times New Roman" w:eastAsia="仿宋_GB2312" w:cs="Times New Roman"/>
          <w:bCs/>
          <w:sz w:val="32"/>
          <w:szCs w:val="32"/>
          <w:highlight w:val="none"/>
          <w:lang w:val="en-US" w:eastAsia="zh-CN"/>
        </w:rPr>
        <w:t>电力交易机构应在1个工作日内</w:t>
      </w:r>
      <w:r>
        <w:rPr>
          <w:rFonts w:hint="eastAsia" w:ascii="Times New Roman" w:hAnsi="Times New Roman" w:eastAsia="仿宋_GB2312" w:cs="Times New Roman"/>
          <w:bCs/>
          <w:sz w:val="32"/>
          <w:szCs w:val="32"/>
          <w:highlight w:val="none"/>
        </w:rPr>
        <w:t>核实</w:t>
      </w:r>
      <w:r>
        <w:rPr>
          <w:rFonts w:hint="eastAsia" w:ascii="Times New Roman" w:hAnsi="Times New Roman" w:eastAsia="仿宋_GB2312" w:cs="Times New Roman"/>
          <w:bCs/>
          <w:sz w:val="32"/>
          <w:szCs w:val="32"/>
          <w:highlight w:val="none"/>
          <w:lang w:eastAsia="zh-CN"/>
        </w:rPr>
        <w:t>、</w:t>
      </w:r>
      <w:r>
        <w:rPr>
          <w:rFonts w:hint="eastAsia" w:ascii="Times New Roman" w:hAnsi="Times New Roman" w:eastAsia="仿宋_GB2312" w:cs="Times New Roman"/>
          <w:bCs/>
          <w:sz w:val="32"/>
          <w:szCs w:val="32"/>
          <w:highlight w:val="none"/>
          <w:lang w:val="en-US" w:eastAsia="zh-CN"/>
        </w:rPr>
        <w:t>反馈，市场</w:t>
      </w:r>
      <w:r>
        <w:rPr>
          <w:rFonts w:hint="eastAsia" w:ascii="Times New Roman" w:hAnsi="Times New Roman" w:eastAsia="仿宋_GB2312" w:cs="Times New Roman"/>
          <w:bCs/>
          <w:sz w:val="32"/>
          <w:szCs w:val="32"/>
          <w:highlight w:val="none"/>
        </w:rPr>
        <w:t>经营主体</w:t>
      </w:r>
      <w:r>
        <w:rPr>
          <w:rFonts w:hint="eastAsia" w:ascii="Times New Roman" w:hAnsi="Times New Roman" w:eastAsia="仿宋_GB2312" w:cs="Times New Roman"/>
          <w:bCs/>
          <w:sz w:val="32"/>
          <w:szCs w:val="32"/>
          <w:highlight w:val="none"/>
          <w:lang w:eastAsia="zh-CN"/>
        </w:rPr>
        <w:t>应对</w:t>
      </w:r>
      <w:r>
        <w:rPr>
          <w:rFonts w:hint="eastAsia" w:ascii="Times New Roman" w:hAnsi="Times New Roman" w:eastAsia="仿宋_GB2312" w:cs="Times New Roman"/>
          <w:bCs/>
          <w:sz w:val="32"/>
          <w:szCs w:val="32"/>
          <w:highlight w:val="none"/>
          <w:lang w:val="en-US" w:eastAsia="zh-CN"/>
        </w:rPr>
        <w:t>修正后的结算依据（核对版）在1个工作日内完成</w:t>
      </w:r>
      <w:r>
        <w:rPr>
          <w:rFonts w:hint="eastAsia" w:ascii="Times New Roman" w:hAnsi="Times New Roman" w:eastAsia="仿宋_GB2312" w:cs="Times New Roman"/>
          <w:bCs/>
          <w:sz w:val="32"/>
          <w:szCs w:val="32"/>
          <w:highlight w:val="none"/>
        </w:rPr>
        <w:t>核对和确认</w:t>
      </w:r>
      <w:r>
        <w:rPr>
          <w:rFonts w:hint="eastAsia" w:ascii="Times New Roman" w:hAnsi="Times New Roman" w:eastAsia="仿宋_GB2312" w:cs="Times New Roman"/>
          <w:bCs/>
          <w:sz w:val="32"/>
          <w:szCs w:val="32"/>
          <w:highlight w:val="none"/>
          <w:lang w:eastAsia="zh-CN"/>
        </w:rPr>
        <w:t>；因异议处理无法按时出具结算依据的，纳入下一结算周期结算。</w:t>
      </w:r>
      <w:r>
        <w:rPr>
          <w:rFonts w:hint="eastAsia" w:ascii="Times New Roman" w:hAnsi="Times New Roman" w:eastAsia="仿宋_GB2312" w:cs="Times New Roman"/>
          <w:bCs/>
          <w:sz w:val="32"/>
          <w:szCs w:val="32"/>
          <w:highlight w:val="none"/>
        </w:rPr>
        <w:t>条件具备</w:t>
      </w:r>
      <w:r>
        <w:rPr>
          <w:rFonts w:hint="eastAsia" w:ascii="Times New Roman" w:hAnsi="Times New Roman" w:eastAsia="仿宋_GB2312" w:cs="Times New Roman"/>
          <w:bCs/>
          <w:sz w:val="32"/>
          <w:szCs w:val="32"/>
          <w:highlight w:val="none"/>
          <w:lang w:eastAsia="zh-CN"/>
        </w:rPr>
        <w:t>的地区</w:t>
      </w:r>
      <w:r>
        <w:rPr>
          <w:rFonts w:hint="eastAsia" w:ascii="Times New Roman" w:hAnsi="Times New Roman" w:eastAsia="仿宋_GB2312" w:cs="Times New Roman"/>
          <w:bCs/>
          <w:sz w:val="32"/>
          <w:szCs w:val="32"/>
          <w:highlight w:val="none"/>
        </w:rPr>
        <w:t>，时间节点、流程可进一步优化。</w:t>
      </w:r>
    </w:p>
    <w:p w14:paraId="79591595">
      <w:pPr>
        <w:pStyle w:val="18"/>
        <w:numPr>
          <w:ilvl w:val="0"/>
          <w:numId w:val="1"/>
        </w:numPr>
        <w:snapToGrid w:val="0"/>
        <w:spacing w:line="588" w:lineRule="exact"/>
        <w:ind w:firstLine="640" w:firstLineChars="200"/>
        <w:jc w:val="both"/>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lang w:val="en-US" w:eastAsia="zh-CN"/>
        </w:rPr>
        <w:t>结算依据（核对版）确认后，电力交易机构应于每月</w:t>
      </w:r>
      <w:r>
        <w:rPr>
          <w:rFonts w:hint="eastAsia" w:ascii="Times New Roman" w:hAnsi="Times New Roman" w:eastAsia="仿宋_GB2312" w:cs="仿宋_GB2312"/>
          <w:bCs/>
          <w:sz w:val="32"/>
          <w:szCs w:val="32"/>
          <w:highlight w:val="none"/>
          <w:lang w:eastAsia="zh-CN"/>
        </w:rPr>
        <w:t>第</w:t>
      </w:r>
      <w:r>
        <w:rPr>
          <w:rFonts w:hint="eastAsia" w:ascii="Times New Roman" w:hAnsi="Times New Roman" w:eastAsia="仿宋_GB2312" w:cs="仿宋_GB2312"/>
          <w:bCs/>
          <w:sz w:val="32"/>
          <w:szCs w:val="32"/>
          <w:highlight w:val="none"/>
          <w:lang w:val="en-US" w:eastAsia="zh-CN"/>
        </w:rPr>
        <w:t>7个工作日前</w:t>
      </w:r>
      <w:r>
        <w:rPr>
          <w:rFonts w:hint="eastAsia" w:ascii="Times New Roman" w:hAnsi="Times New Roman" w:eastAsia="仿宋_GB2312" w:cs="仿宋_GB2312"/>
          <w:bCs/>
          <w:sz w:val="32"/>
          <w:szCs w:val="32"/>
          <w:highlight w:val="none"/>
        </w:rPr>
        <w:t>向</w:t>
      </w:r>
      <w:r>
        <w:rPr>
          <w:rFonts w:hint="eastAsia" w:ascii="Times New Roman" w:hAnsi="Times New Roman" w:eastAsia="仿宋_GB2312" w:cs="仿宋_GB2312"/>
          <w:bCs/>
          <w:sz w:val="32"/>
          <w:szCs w:val="32"/>
          <w:highlight w:val="none"/>
          <w:lang w:val="en-US" w:eastAsia="zh-CN"/>
        </w:rPr>
        <w:t>市场</w:t>
      </w:r>
      <w:r>
        <w:rPr>
          <w:rFonts w:hint="eastAsia" w:ascii="Times New Roman" w:hAnsi="Times New Roman" w:eastAsia="仿宋_GB2312" w:cs="仿宋_GB2312"/>
          <w:bCs/>
          <w:sz w:val="32"/>
          <w:szCs w:val="32"/>
          <w:highlight w:val="none"/>
        </w:rPr>
        <w:t>经营主体发布</w:t>
      </w:r>
      <w:r>
        <w:rPr>
          <w:rFonts w:hint="eastAsia" w:ascii="Times New Roman" w:hAnsi="Times New Roman" w:eastAsia="仿宋_GB2312" w:cs="仿宋_GB2312"/>
          <w:bCs/>
          <w:sz w:val="32"/>
          <w:szCs w:val="32"/>
          <w:highlight w:val="none"/>
          <w:lang w:eastAsia="zh-CN"/>
        </w:rPr>
        <w:t>正式结算依据</w:t>
      </w:r>
      <w:r>
        <w:rPr>
          <w:rFonts w:hint="eastAsia" w:ascii="Times New Roman" w:hAnsi="Times New Roman" w:eastAsia="仿宋_GB2312" w:cs="仿宋_GB2312"/>
          <w:bCs/>
          <w:sz w:val="32"/>
          <w:szCs w:val="32"/>
          <w:highlight w:val="none"/>
          <w:lang w:val="en-US" w:eastAsia="zh-CN"/>
        </w:rPr>
        <w:t>，并推送给电网企业。</w:t>
      </w:r>
    </w:p>
    <w:p w14:paraId="347BF457">
      <w:pPr>
        <w:snapToGrid w:val="0"/>
        <w:spacing w:line="588" w:lineRule="exact"/>
        <w:jc w:val="center"/>
        <w:outlineLvl w:val="1"/>
        <w:rPr>
          <w:rFonts w:hint="eastAsia" w:ascii="Times New Roman" w:hAnsi="Times New Roman" w:eastAsia="楷体_GB2312" w:cs="Times New Roman"/>
          <w:sz w:val="32"/>
          <w:szCs w:val="32"/>
          <w:highlight w:val="none"/>
        </w:rPr>
      </w:pPr>
      <w:bookmarkStart w:id="194" w:name="_Toc11996"/>
      <w:bookmarkStart w:id="195" w:name="_Toc26715"/>
      <w:bookmarkStart w:id="196" w:name="_Toc8306"/>
      <w:bookmarkStart w:id="197" w:name="_Toc30939"/>
      <w:bookmarkStart w:id="198" w:name="_Toc23607"/>
      <w:bookmarkStart w:id="199" w:name="_Toc27647"/>
      <w:bookmarkStart w:id="200" w:name="_Toc7820"/>
      <w:bookmarkStart w:id="201" w:name="_Toc30070"/>
      <w:bookmarkStart w:id="202" w:name="_Toc8267"/>
      <w:bookmarkStart w:id="203" w:name="_Toc4431"/>
      <w:bookmarkStart w:id="204" w:name="_Toc18820"/>
      <w:bookmarkStart w:id="205" w:name="_Toc5429"/>
      <w:bookmarkStart w:id="206" w:name="_Toc17036"/>
      <w:bookmarkStart w:id="207" w:name="_Toc28497"/>
      <w:bookmarkStart w:id="208" w:name="_Toc17387"/>
      <w:bookmarkStart w:id="209" w:name="_Toc13966"/>
      <w:bookmarkStart w:id="210" w:name="_Toc23007"/>
      <w:bookmarkStart w:id="211" w:name="_Toc19319"/>
      <w:bookmarkStart w:id="212" w:name="_Toc3566"/>
      <w:bookmarkStart w:id="213" w:name="_Toc2688"/>
      <w:bookmarkStart w:id="214" w:name="_Toc20021"/>
      <w:bookmarkStart w:id="215" w:name="_Toc2299"/>
      <w:bookmarkStart w:id="216" w:name="_Toc32735"/>
      <w:bookmarkStart w:id="217" w:name="_Toc18184"/>
      <w:bookmarkStart w:id="218" w:name="_Toc15694"/>
      <w:r>
        <w:rPr>
          <w:rFonts w:hint="eastAsia" w:ascii="Times New Roman" w:hAnsi="Times New Roman" w:eastAsia="楷体_GB2312" w:cs="Times New Roman"/>
          <w:sz w:val="32"/>
          <w:szCs w:val="32"/>
          <w:highlight w:val="none"/>
        </w:rPr>
        <w:t>第</w:t>
      </w:r>
      <w:r>
        <w:rPr>
          <w:rFonts w:hint="eastAsia" w:ascii="Times New Roman" w:hAnsi="Times New Roman" w:eastAsia="楷体_GB2312" w:cs="Times New Roman"/>
          <w:sz w:val="32"/>
          <w:szCs w:val="32"/>
          <w:highlight w:val="none"/>
          <w:lang w:val="en-US" w:eastAsia="zh-CN"/>
        </w:rPr>
        <w:t>三节</w:t>
      </w:r>
      <w:r>
        <w:rPr>
          <w:rFonts w:hint="eastAsia" w:ascii="Times New Roman" w:hAnsi="Times New Roman" w:eastAsia="楷体_GB2312" w:cs="Times New Roman"/>
          <w:sz w:val="32"/>
          <w:szCs w:val="32"/>
          <w:highlight w:val="none"/>
        </w:rPr>
        <w:t xml:space="preserve"> </w:t>
      </w:r>
      <w:bookmarkEnd w:id="194"/>
      <w:bookmarkEnd w:id="195"/>
      <w:bookmarkEnd w:id="196"/>
      <w:r>
        <w:rPr>
          <w:rFonts w:hint="eastAsia" w:ascii="Times New Roman" w:hAnsi="Times New Roman" w:eastAsia="楷体_GB2312" w:cs="Times New Roman"/>
          <w:sz w:val="32"/>
          <w:szCs w:val="32"/>
          <w:highlight w:val="none"/>
        </w:rPr>
        <w:t>电费</w:t>
      </w:r>
      <w:bookmarkEnd w:id="197"/>
      <w:bookmarkEnd w:id="198"/>
      <w:bookmarkEnd w:id="199"/>
      <w:bookmarkEnd w:id="200"/>
      <w:bookmarkEnd w:id="201"/>
      <w:r>
        <w:rPr>
          <w:rFonts w:hint="eastAsia" w:ascii="Times New Roman" w:hAnsi="Times New Roman" w:eastAsia="楷体_GB2312" w:cs="Times New Roman"/>
          <w:sz w:val="32"/>
          <w:szCs w:val="32"/>
          <w:highlight w:val="none"/>
          <w:lang w:val="en-US" w:eastAsia="zh-CN"/>
        </w:rPr>
        <w:t>结算</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44CB69C">
      <w:pPr>
        <w:pStyle w:val="18"/>
        <w:numPr>
          <w:ilvl w:val="0"/>
          <w:numId w:val="1"/>
        </w:numPr>
        <w:snapToGrid w:val="0"/>
        <w:spacing w:line="588" w:lineRule="exact"/>
        <w:ind w:left="0" w:firstLine="640" w:firstLineChars="200"/>
        <w:jc w:val="both"/>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rPr>
        <w:t>电力交易机构每月底前2日向电网企业提供退出市场</w:t>
      </w:r>
      <w:r>
        <w:rPr>
          <w:rFonts w:hint="eastAsia" w:ascii="Times New Roman" w:hAnsi="Times New Roman" w:eastAsia="仿宋_GB2312" w:cs="仿宋_GB2312"/>
          <w:bCs/>
          <w:sz w:val="32"/>
          <w:szCs w:val="32"/>
          <w:highlight w:val="none"/>
          <w:lang w:val="en-US" w:eastAsia="zh-CN"/>
        </w:rPr>
        <w:t>的</w:t>
      </w:r>
      <w:r>
        <w:rPr>
          <w:rFonts w:hint="eastAsia" w:ascii="Times New Roman" w:hAnsi="Times New Roman" w:eastAsia="仿宋_GB2312" w:cs="仿宋_GB2312"/>
          <w:bCs/>
          <w:sz w:val="32"/>
          <w:szCs w:val="32"/>
          <w:highlight w:val="none"/>
        </w:rPr>
        <w:t>用户</w:t>
      </w:r>
      <w:r>
        <w:rPr>
          <w:rFonts w:hint="eastAsia" w:ascii="Times New Roman" w:hAnsi="Times New Roman" w:eastAsia="仿宋_GB2312" w:cs="仿宋_GB2312"/>
          <w:bCs/>
          <w:sz w:val="32"/>
          <w:szCs w:val="32"/>
          <w:highlight w:val="none"/>
          <w:lang w:val="en-US" w:eastAsia="zh-CN"/>
        </w:rPr>
        <w:t>侧</w:t>
      </w:r>
      <w:r>
        <w:rPr>
          <w:rFonts w:hint="eastAsia" w:ascii="Times New Roman" w:hAnsi="Times New Roman" w:eastAsia="仿宋_GB2312" w:cs="仿宋_GB2312"/>
          <w:bCs/>
          <w:sz w:val="32"/>
          <w:szCs w:val="32"/>
          <w:highlight w:val="none"/>
        </w:rPr>
        <w:t>名单，包括法人主体名称、统一社会信用代码、关联用电单元户号等。</w:t>
      </w:r>
    </w:p>
    <w:p w14:paraId="731085E5">
      <w:pPr>
        <w:pStyle w:val="18"/>
        <w:numPr>
          <w:ilvl w:val="0"/>
          <w:numId w:val="1"/>
        </w:numPr>
        <w:tabs>
          <w:tab w:val="clear" w:pos="1429"/>
        </w:tabs>
        <w:snapToGrid w:val="0"/>
        <w:spacing w:line="588" w:lineRule="exact"/>
        <w:ind w:left="0" w:firstLine="640" w:firstLineChars="200"/>
        <w:jc w:val="both"/>
        <w:rPr>
          <w:rFonts w:hint="eastAsia" w:ascii="Times New Roman" w:hAnsi="Times New Roman" w:eastAsia="仿宋_GB2312" w:cs="仿宋_GB2312"/>
          <w:b w:val="0"/>
          <w:bCs/>
          <w:color w:val="auto"/>
          <w:kern w:val="2"/>
          <w:sz w:val="32"/>
          <w:szCs w:val="32"/>
          <w:highlight w:val="none"/>
        </w:rPr>
      </w:pPr>
      <w:r>
        <w:rPr>
          <w:rFonts w:hint="eastAsia" w:ascii="Times New Roman" w:hAnsi="Times New Roman" w:eastAsia="仿宋_GB2312" w:cs="仿宋_GB2312"/>
          <w:b w:val="0"/>
          <w:bCs/>
          <w:sz w:val="32"/>
          <w:szCs w:val="32"/>
          <w:highlight w:val="none"/>
          <w:lang w:eastAsia="zh-CN"/>
        </w:rPr>
        <w:t>电网企业</w:t>
      </w:r>
      <w:r>
        <w:rPr>
          <w:rFonts w:hint="eastAsia" w:ascii="Times New Roman" w:hAnsi="Times New Roman" w:eastAsia="仿宋_GB2312" w:cs="Times New Roman"/>
          <w:bCs/>
          <w:sz w:val="32"/>
          <w:szCs w:val="32"/>
          <w:highlight w:val="none"/>
        </w:rPr>
        <w:t>根据</w:t>
      </w:r>
      <w:r>
        <w:rPr>
          <w:rFonts w:hint="eastAsia" w:ascii="Times New Roman" w:hAnsi="Times New Roman" w:eastAsia="仿宋_GB2312" w:cs="Times New Roman"/>
          <w:bCs/>
          <w:sz w:val="32"/>
          <w:szCs w:val="32"/>
          <w:highlight w:val="none"/>
          <w:lang w:val="en-US" w:eastAsia="zh-CN"/>
        </w:rPr>
        <w:t>有关政策</w:t>
      </w:r>
      <w:r>
        <w:rPr>
          <w:rFonts w:hint="eastAsia" w:ascii="Times New Roman" w:hAnsi="Times New Roman" w:eastAsia="仿宋_GB2312" w:cs="Times New Roman"/>
          <w:bCs/>
          <w:sz w:val="32"/>
          <w:szCs w:val="32"/>
          <w:highlight w:val="none"/>
        </w:rPr>
        <w:t>文件</w:t>
      </w:r>
      <w:r>
        <w:rPr>
          <w:rFonts w:hint="eastAsia" w:ascii="Times New Roman" w:hAnsi="Times New Roman" w:eastAsia="仿宋_GB2312" w:cs="Times New Roman"/>
          <w:bCs/>
          <w:sz w:val="32"/>
          <w:szCs w:val="32"/>
          <w:highlight w:val="none"/>
          <w:lang w:val="en-US" w:eastAsia="zh-CN"/>
        </w:rPr>
        <w:t>和电力交易机构推送的结算基础数据</w:t>
      </w:r>
      <w:r>
        <w:rPr>
          <w:rFonts w:hint="eastAsia" w:ascii="Times New Roman" w:hAnsi="Times New Roman" w:eastAsia="仿宋_GB2312" w:cs="Times New Roman"/>
          <w:bCs/>
          <w:sz w:val="32"/>
          <w:szCs w:val="32"/>
          <w:highlight w:val="none"/>
          <w:lang w:eastAsia="zh-CN"/>
        </w:rPr>
        <w:t>，</w:t>
      </w:r>
      <w:r>
        <w:rPr>
          <w:rFonts w:hint="eastAsia" w:ascii="Times New Roman" w:hAnsi="Times New Roman" w:eastAsia="仿宋_GB2312" w:cs="Times New Roman"/>
          <w:bCs/>
          <w:sz w:val="32"/>
          <w:szCs w:val="32"/>
          <w:highlight w:val="none"/>
          <w:lang w:val="en-US" w:eastAsia="zh-CN"/>
        </w:rPr>
        <w:t>复核</w:t>
      </w:r>
      <w:r>
        <w:rPr>
          <w:rFonts w:hint="eastAsia" w:ascii="Times New Roman" w:hAnsi="Times New Roman" w:eastAsia="仿宋_GB2312" w:cs="仿宋_GB2312"/>
          <w:b w:val="0"/>
          <w:bCs/>
          <w:sz w:val="32"/>
          <w:szCs w:val="32"/>
          <w:highlight w:val="none"/>
          <w:lang w:val="en-US" w:eastAsia="zh-CN"/>
        </w:rPr>
        <w:t>结算依据，编制并向市场经营主体出具电费账单</w:t>
      </w:r>
      <w:r>
        <w:rPr>
          <w:rFonts w:hint="eastAsia" w:ascii="Times New Roman" w:hAnsi="Times New Roman" w:eastAsia="仿宋_GB2312" w:cs="仿宋_GB2312"/>
          <w:b w:val="0"/>
          <w:bCs/>
          <w:sz w:val="32"/>
          <w:szCs w:val="32"/>
          <w:highlight w:val="none"/>
          <w:lang w:eastAsia="zh-CN"/>
        </w:rPr>
        <w:t>。</w:t>
      </w:r>
    </w:p>
    <w:p w14:paraId="1466ACA2">
      <w:pPr>
        <w:pStyle w:val="18"/>
        <w:numPr>
          <w:ilvl w:val="0"/>
          <w:numId w:val="1"/>
        </w:numPr>
        <w:tabs>
          <w:tab w:val="clear" w:pos="1429"/>
        </w:tabs>
        <w:snapToGrid w:val="0"/>
        <w:spacing w:line="588" w:lineRule="exact"/>
        <w:ind w:left="0" w:firstLine="640" w:firstLineChars="200"/>
        <w:jc w:val="both"/>
        <w:rPr>
          <w:rFonts w:hint="eastAsia" w:ascii="Times New Roman" w:hAnsi="Times New Roman" w:eastAsia="仿宋_GB2312" w:cs="仿宋_GB2312"/>
          <w:b w:val="0"/>
          <w:bCs/>
          <w:color w:val="auto"/>
          <w:kern w:val="2"/>
          <w:sz w:val="32"/>
          <w:szCs w:val="32"/>
          <w:highlight w:val="none"/>
        </w:rPr>
      </w:pPr>
      <w:r>
        <w:rPr>
          <w:rFonts w:hint="eastAsia" w:ascii="Times New Roman" w:hAnsi="Times New Roman" w:eastAsia="仿宋_GB2312" w:cs="仿宋_GB2312"/>
          <w:b w:val="0"/>
          <w:bCs/>
          <w:sz w:val="32"/>
          <w:szCs w:val="32"/>
          <w:highlight w:val="none"/>
          <w:lang w:val="en-US" w:eastAsia="zh-CN"/>
        </w:rPr>
        <w:t>原则上电网企业应于每月第</w:t>
      </w:r>
      <w:r>
        <w:rPr>
          <w:rFonts w:hint="eastAsia" w:ascii="Times New Roman" w:hAnsi="Times New Roman" w:eastAsia="仿宋_GB2312" w:cs="仿宋_GB2312"/>
          <w:bCs/>
          <w:sz w:val="32"/>
          <w:szCs w:val="32"/>
          <w:highlight w:val="none"/>
          <w:lang w:val="en-US" w:eastAsia="zh-CN"/>
        </w:rPr>
        <w:t>10个工作</w:t>
      </w:r>
      <w:r>
        <w:rPr>
          <w:rFonts w:hint="eastAsia" w:ascii="Times New Roman" w:hAnsi="Times New Roman" w:eastAsia="仿宋_GB2312" w:cs="仿宋_GB2312"/>
          <w:b w:val="0"/>
          <w:bCs/>
          <w:sz w:val="32"/>
          <w:szCs w:val="32"/>
          <w:highlight w:val="none"/>
          <w:lang w:val="en-US" w:eastAsia="zh-CN"/>
        </w:rPr>
        <w:t>日前向</w:t>
      </w:r>
      <w:r>
        <w:rPr>
          <w:rFonts w:hint="eastAsia" w:ascii="Times New Roman" w:hAnsi="Times New Roman" w:eastAsia="仿宋_GB2312" w:cs="仿宋_GB2312"/>
          <w:b w:val="0"/>
          <w:bCs/>
          <w:color w:val="auto"/>
          <w:kern w:val="2"/>
          <w:sz w:val="32"/>
          <w:szCs w:val="32"/>
          <w:highlight w:val="none"/>
          <w:lang w:val="en-US" w:eastAsia="zh-CN"/>
        </w:rPr>
        <w:t>电力用户</w:t>
      </w:r>
      <w:r>
        <w:rPr>
          <w:rFonts w:hint="eastAsia" w:ascii="Times New Roman" w:hAnsi="Times New Roman" w:eastAsia="仿宋_GB2312" w:cs="仿宋_GB2312"/>
          <w:b w:val="0"/>
          <w:bCs/>
          <w:color w:val="auto"/>
          <w:kern w:val="2"/>
          <w:sz w:val="32"/>
          <w:szCs w:val="32"/>
          <w:highlight w:val="none"/>
          <w:lang w:eastAsia="zh-CN"/>
        </w:rPr>
        <w:t>、发电</w:t>
      </w:r>
      <w:r>
        <w:rPr>
          <w:rFonts w:hint="eastAsia" w:ascii="Times New Roman" w:hAnsi="Times New Roman" w:eastAsia="仿宋_GB2312" w:cs="仿宋_GB2312"/>
          <w:b w:val="0"/>
          <w:bCs/>
          <w:kern w:val="2"/>
          <w:sz w:val="32"/>
          <w:szCs w:val="32"/>
          <w:highlight w:val="none"/>
          <w:lang w:eastAsia="zh-CN"/>
        </w:rPr>
        <w:t>企业</w:t>
      </w:r>
      <w:r>
        <w:rPr>
          <w:rFonts w:hint="eastAsia" w:ascii="Times New Roman" w:hAnsi="Times New Roman" w:eastAsia="仿宋_GB2312" w:cs="仿宋_GB2312"/>
          <w:b w:val="0"/>
          <w:bCs/>
          <w:color w:val="auto"/>
          <w:kern w:val="2"/>
          <w:sz w:val="32"/>
          <w:szCs w:val="32"/>
          <w:highlight w:val="none"/>
        </w:rPr>
        <w:t>、售电公司</w:t>
      </w:r>
      <w:r>
        <w:rPr>
          <w:rFonts w:hint="eastAsia" w:ascii="Times New Roman" w:hAnsi="Times New Roman" w:eastAsia="仿宋_GB2312" w:cs="仿宋_GB2312"/>
          <w:b w:val="0"/>
          <w:bCs/>
          <w:kern w:val="2"/>
          <w:sz w:val="32"/>
          <w:szCs w:val="32"/>
          <w:highlight w:val="none"/>
          <w:lang w:val="en-US" w:eastAsia="zh-CN"/>
        </w:rPr>
        <w:t>发行电费账单</w:t>
      </w:r>
      <w:r>
        <w:rPr>
          <w:rFonts w:hint="eastAsia" w:ascii="Times New Roman" w:hAnsi="Times New Roman" w:eastAsia="仿宋_GB2312" w:cs="仿宋_GB2312"/>
          <w:bCs/>
          <w:sz w:val="32"/>
          <w:szCs w:val="32"/>
          <w:highlight w:val="none"/>
          <w:lang w:eastAsia="zh-CN"/>
        </w:rPr>
        <w:t>。</w:t>
      </w:r>
      <w:r>
        <w:rPr>
          <w:rFonts w:hint="eastAsia" w:ascii="Times New Roman" w:hAnsi="Times New Roman" w:eastAsia="仿宋_GB2312" w:cs="仿宋_GB2312"/>
          <w:bCs/>
          <w:sz w:val="32"/>
          <w:szCs w:val="32"/>
          <w:highlight w:val="none"/>
          <w:lang w:val="en-US" w:eastAsia="zh-CN"/>
        </w:rPr>
        <w:t>对于</w:t>
      </w:r>
      <w:r>
        <w:rPr>
          <w:rFonts w:hint="eastAsia" w:ascii="Times New Roman" w:hAnsi="Times New Roman" w:eastAsia="仿宋_GB2312" w:cs="仿宋_GB2312"/>
          <w:b w:val="0"/>
          <w:bCs/>
          <w:color w:val="auto"/>
          <w:kern w:val="2"/>
          <w:sz w:val="32"/>
          <w:szCs w:val="32"/>
          <w:highlight w:val="none"/>
        </w:rPr>
        <w:t>新型经营主体</w:t>
      </w:r>
      <w:r>
        <w:rPr>
          <w:rFonts w:hint="eastAsia" w:ascii="Times New Roman" w:hAnsi="Times New Roman" w:eastAsia="仿宋_GB2312" w:cs="Times New Roman"/>
          <w:bCs/>
          <w:sz w:val="32"/>
          <w:szCs w:val="32"/>
          <w:highlight w:val="none"/>
        </w:rPr>
        <w:t>（含储能企业、虚拟电厂、负荷聚合商等）</w:t>
      </w:r>
      <w:r>
        <w:rPr>
          <w:rFonts w:hint="eastAsia" w:ascii="Times New Roman" w:hAnsi="Times New Roman" w:eastAsia="仿宋_GB2312" w:cs="仿宋_GB2312"/>
          <w:b w:val="0"/>
          <w:bCs/>
          <w:kern w:val="2"/>
          <w:sz w:val="32"/>
          <w:szCs w:val="32"/>
          <w:highlight w:val="none"/>
          <w:lang w:eastAsia="zh-CN"/>
        </w:rPr>
        <w:t>，</w:t>
      </w:r>
      <w:r>
        <w:rPr>
          <w:rFonts w:hint="eastAsia" w:ascii="Times New Roman" w:hAnsi="Times New Roman" w:eastAsia="仿宋_GB2312" w:cs="仿宋_GB2312"/>
          <w:b w:val="0"/>
          <w:bCs/>
          <w:color w:val="auto"/>
          <w:kern w:val="2"/>
          <w:sz w:val="32"/>
          <w:szCs w:val="32"/>
          <w:highlight w:val="none"/>
        </w:rPr>
        <w:t>按照其运营情况分别参照</w:t>
      </w:r>
      <w:r>
        <w:rPr>
          <w:rFonts w:hint="eastAsia" w:ascii="Times New Roman" w:hAnsi="Times New Roman" w:eastAsia="仿宋_GB2312" w:cs="仿宋_GB2312"/>
          <w:b w:val="0"/>
          <w:bCs/>
          <w:color w:val="auto"/>
          <w:kern w:val="2"/>
          <w:sz w:val="32"/>
          <w:szCs w:val="32"/>
          <w:highlight w:val="none"/>
          <w:lang w:eastAsia="zh-CN"/>
        </w:rPr>
        <w:t>用</w:t>
      </w:r>
      <w:r>
        <w:rPr>
          <w:rFonts w:hint="eastAsia" w:ascii="Times New Roman" w:hAnsi="Times New Roman" w:eastAsia="仿宋_GB2312" w:cs="仿宋_GB2312"/>
          <w:b w:val="0"/>
          <w:bCs/>
          <w:color w:val="auto"/>
          <w:kern w:val="2"/>
          <w:sz w:val="32"/>
          <w:szCs w:val="32"/>
          <w:highlight w:val="none"/>
          <w:lang w:val="en-US" w:eastAsia="zh-CN"/>
        </w:rPr>
        <w:t>电力用户</w:t>
      </w:r>
      <w:r>
        <w:rPr>
          <w:rFonts w:hint="eastAsia" w:ascii="Times New Roman" w:hAnsi="Times New Roman" w:eastAsia="仿宋_GB2312" w:cs="仿宋_GB2312"/>
          <w:b w:val="0"/>
          <w:bCs/>
          <w:color w:val="auto"/>
          <w:kern w:val="2"/>
          <w:sz w:val="32"/>
          <w:szCs w:val="32"/>
          <w:highlight w:val="none"/>
        </w:rPr>
        <w:t>、</w:t>
      </w:r>
      <w:r>
        <w:rPr>
          <w:rFonts w:hint="eastAsia" w:ascii="Times New Roman" w:hAnsi="Times New Roman" w:eastAsia="仿宋_GB2312" w:cs="仿宋_GB2312"/>
          <w:b w:val="0"/>
          <w:bCs/>
          <w:color w:val="auto"/>
          <w:kern w:val="2"/>
          <w:sz w:val="32"/>
          <w:szCs w:val="32"/>
          <w:highlight w:val="none"/>
          <w:lang w:eastAsia="zh-CN"/>
        </w:rPr>
        <w:t>发电</w:t>
      </w:r>
      <w:r>
        <w:rPr>
          <w:rFonts w:hint="eastAsia" w:ascii="Times New Roman" w:hAnsi="Times New Roman" w:eastAsia="仿宋_GB2312" w:cs="仿宋_GB2312"/>
          <w:b w:val="0"/>
          <w:bCs/>
          <w:color w:val="auto"/>
          <w:kern w:val="2"/>
          <w:sz w:val="32"/>
          <w:szCs w:val="32"/>
          <w:highlight w:val="none"/>
          <w:lang w:val="en-US" w:eastAsia="zh-CN"/>
        </w:rPr>
        <w:t>企业</w:t>
      </w:r>
      <w:r>
        <w:rPr>
          <w:rFonts w:hint="eastAsia" w:ascii="Times New Roman" w:hAnsi="Times New Roman" w:eastAsia="仿宋_GB2312" w:cs="仿宋_GB2312"/>
          <w:b w:val="0"/>
          <w:bCs/>
          <w:color w:val="auto"/>
          <w:kern w:val="2"/>
          <w:sz w:val="32"/>
          <w:szCs w:val="32"/>
          <w:highlight w:val="none"/>
        </w:rPr>
        <w:t>时间节点开展相关工作。</w:t>
      </w:r>
      <w:r>
        <w:rPr>
          <w:rFonts w:hint="eastAsia" w:ascii="Times New Roman" w:hAnsi="Times New Roman" w:eastAsia="仿宋_GB2312" w:cs="仿宋_GB2312"/>
          <w:bCs/>
          <w:color w:val="auto"/>
          <w:sz w:val="32"/>
          <w:szCs w:val="32"/>
          <w:highlight w:val="none"/>
        </w:rPr>
        <w:t>条件具备的地区，</w:t>
      </w:r>
      <w:r>
        <w:rPr>
          <w:rFonts w:hint="eastAsia" w:ascii="Times New Roman" w:hAnsi="Times New Roman" w:eastAsia="仿宋_GB2312" w:cs="仿宋_GB2312"/>
          <w:bCs/>
          <w:color w:val="auto"/>
          <w:sz w:val="32"/>
          <w:szCs w:val="32"/>
          <w:highlight w:val="none"/>
          <w:lang w:eastAsia="zh-CN"/>
        </w:rPr>
        <w:t>电费账单发行</w:t>
      </w:r>
      <w:r>
        <w:rPr>
          <w:rFonts w:hint="eastAsia" w:ascii="Times New Roman" w:hAnsi="Times New Roman" w:eastAsia="仿宋_GB2312" w:cs="仿宋_GB2312"/>
          <w:bCs/>
          <w:color w:val="auto"/>
          <w:sz w:val="32"/>
          <w:szCs w:val="32"/>
          <w:highlight w:val="none"/>
        </w:rPr>
        <w:t>时间节点、流程可进一步优化。</w:t>
      </w:r>
    </w:p>
    <w:p w14:paraId="2AFFB4CB">
      <w:pPr>
        <w:pStyle w:val="18"/>
        <w:numPr>
          <w:ilvl w:val="0"/>
          <w:numId w:val="1"/>
        </w:numPr>
        <w:snapToGrid w:val="0"/>
        <w:spacing w:line="588" w:lineRule="exact"/>
        <w:ind w:left="0" w:firstLine="640" w:firstLineChars="200"/>
        <w:jc w:val="both"/>
        <w:rPr>
          <w:rFonts w:ascii="Times New Roman" w:hAnsi="Times New Roman" w:eastAsia="仿宋_GB2312" w:cs="Times New Roman"/>
          <w:bCs/>
          <w:sz w:val="32"/>
          <w:szCs w:val="32"/>
          <w:highlight w:val="none"/>
        </w:rPr>
      </w:pPr>
      <w:r>
        <w:rPr>
          <w:rFonts w:hint="eastAsia" w:ascii="Times New Roman" w:hAnsi="Times New Roman" w:eastAsia="仿宋_GB2312" w:cs="仿宋_GB2312"/>
          <w:bCs/>
          <w:color w:val="auto"/>
          <w:sz w:val="32"/>
          <w:szCs w:val="32"/>
          <w:highlight w:val="none"/>
          <w:lang w:eastAsia="zh-CN"/>
        </w:rPr>
        <w:t>电网企业负责按照规则要求，依据电费账单完成电费收</w:t>
      </w:r>
      <w:r>
        <w:rPr>
          <w:rFonts w:hint="eastAsia" w:ascii="Times New Roman" w:hAnsi="Times New Roman" w:eastAsia="仿宋_GB2312" w:cs="仿宋_GB2312"/>
          <w:bCs/>
          <w:color w:val="auto"/>
          <w:sz w:val="32"/>
          <w:szCs w:val="32"/>
          <w:highlight w:val="none"/>
          <w:lang w:val="en-US" w:eastAsia="zh-CN"/>
        </w:rPr>
        <w:t>付</w:t>
      </w:r>
      <w:r>
        <w:rPr>
          <w:rFonts w:hint="eastAsia" w:ascii="Times New Roman" w:hAnsi="Times New Roman" w:eastAsia="仿宋_GB2312" w:cs="仿宋_GB2312"/>
          <w:bCs/>
          <w:color w:val="auto"/>
          <w:sz w:val="32"/>
          <w:szCs w:val="32"/>
          <w:highlight w:val="none"/>
          <w:lang w:eastAsia="zh-CN"/>
        </w:rPr>
        <w:t>工作，并保障电费资金安全。</w:t>
      </w:r>
    </w:p>
    <w:p w14:paraId="48C81C91">
      <w:pPr>
        <w:pStyle w:val="18"/>
        <w:numPr>
          <w:ilvl w:val="0"/>
          <w:numId w:val="1"/>
        </w:numPr>
        <w:snapToGrid w:val="0"/>
        <w:spacing w:line="588" w:lineRule="exact"/>
        <w:ind w:left="0" w:firstLine="640"/>
        <w:jc w:val="left"/>
        <w:rPr>
          <w:rFonts w:ascii="Times New Roman" w:hAnsi="Times New Roman" w:eastAsia="仿宋_GB2312" w:cs="Times New Roman"/>
          <w:bCs/>
          <w:sz w:val="32"/>
          <w:szCs w:val="32"/>
          <w:highlight w:val="none"/>
        </w:rPr>
      </w:pPr>
      <w:r>
        <w:rPr>
          <w:rFonts w:hint="eastAsia" w:ascii="Times New Roman" w:hAnsi="Times New Roman" w:eastAsia="仿宋_GB2312" w:cs="Times New Roman"/>
          <w:bCs/>
          <w:sz w:val="32"/>
          <w:szCs w:val="32"/>
          <w:highlight w:val="none"/>
        </w:rPr>
        <w:t>发电企业与电网企业间的</w:t>
      </w:r>
      <w:r>
        <w:rPr>
          <w:rFonts w:hint="eastAsia" w:ascii="Times New Roman" w:hAnsi="Times New Roman" w:eastAsia="仿宋_GB2312" w:cs="Times New Roman"/>
          <w:bCs/>
          <w:sz w:val="32"/>
          <w:szCs w:val="32"/>
          <w:highlight w:val="none"/>
          <w:lang w:val="en-US" w:eastAsia="zh-CN"/>
        </w:rPr>
        <w:t>电费</w:t>
      </w:r>
      <w:r>
        <w:rPr>
          <w:rFonts w:hint="eastAsia" w:ascii="Times New Roman" w:hAnsi="Times New Roman" w:eastAsia="仿宋_GB2312" w:cs="Times New Roman"/>
          <w:bCs/>
          <w:sz w:val="32"/>
          <w:szCs w:val="32"/>
          <w:highlight w:val="none"/>
        </w:rPr>
        <w:t>收付有关要求如下：</w:t>
      </w:r>
    </w:p>
    <w:p w14:paraId="217707A3">
      <w:pPr>
        <w:pStyle w:val="17"/>
        <w:snapToGrid w:val="0"/>
        <w:spacing w:line="588" w:lineRule="exact"/>
        <w:ind w:left="0" w:firstLine="640"/>
        <w:jc w:val="left"/>
        <w:rPr>
          <w:rFonts w:ascii="Times New Roman" w:hAnsi="Times New Roman" w:eastAsia="仿宋_GB2312" w:cs="Times New Roman"/>
          <w:bCs/>
          <w:sz w:val="32"/>
          <w:szCs w:val="32"/>
          <w:highlight w:val="none"/>
        </w:rPr>
      </w:pPr>
      <w:r>
        <w:rPr>
          <w:rFonts w:hint="eastAsia" w:ascii="Times New Roman" w:hAnsi="Times New Roman" w:eastAsia="仿宋_GB2312" w:cs="Times New Roman"/>
          <w:bCs/>
          <w:sz w:val="32"/>
          <w:szCs w:val="32"/>
          <w:highlight w:val="none"/>
        </w:rPr>
        <w:t>（一）发电企业应当根据厂网双方确认的</w:t>
      </w:r>
      <w:r>
        <w:rPr>
          <w:rFonts w:hint="eastAsia" w:ascii="Times New Roman" w:hAnsi="Times New Roman" w:eastAsia="仿宋_GB2312" w:cs="Times New Roman"/>
          <w:bCs/>
          <w:sz w:val="32"/>
          <w:szCs w:val="32"/>
          <w:highlight w:val="none"/>
          <w:lang w:eastAsia="zh-CN"/>
        </w:rPr>
        <w:t>电费账单</w:t>
      </w:r>
      <w:r>
        <w:rPr>
          <w:rFonts w:hint="eastAsia" w:ascii="Times New Roman" w:hAnsi="Times New Roman" w:eastAsia="仿宋_GB2312" w:cs="Times New Roman"/>
          <w:bCs/>
          <w:sz w:val="32"/>
          <w:szCs w:val="32"/>
          <w:highlight w:val="none"/>
        </w:rPr>
        <w:t>及时、足额向电网企业开具增值税专用发票，原则上应</w:t>
      </w:r>
      <w:r>
        <w:rPr>
          <w:rFonts w:hint="eastAsia" w:ascii="Times New Roman" w:hAnsi="Times New Roman" w:eastAsia="仿宋_GB2312" w:cs="Times New Roman"/>
          <w:bCs/>
          <w:sz w:val="32"/>
          <w:szCs w:val="32"/>
          <w:highlight w:val="none"/>
          <w:lang w:val="en-US" w:eastAsia="zh-CN"/>
        </w:rPr>
        <w:t>在收到</w:t>
      </w:r>
      <w:r>
        <w:rPr>
          <w:rFonts w:hint="eastAsia" w:ascii="Times New Roman" w:hAnsi="Times New Roman" w:eastAsia="仿宋_GB2312" w:cs="Times New Roman"/>
          <w:bCs/>
          <w:sz w:val="32"/>
          <w:szCs w:val="32"/>
          <w:highlight w:val="none"/>
          <w:lang w:val="en-US" w:eastAsia="zh-CN"/>
        </w:rPr>
        <w:t>电费账单</w:t>
      </w:r>
      <w:r>
        <w:rPr>
          <w:rFonts w:hint="eastAsia" w:ascii="Times New Roman" w:hAnsi="Times New Roman" w:eastAsia="仿宋_GB2312" w:cs="Times New Roman"/>
          <w:bCs/>
          <w:sz w:val="32"/>
          <w:szCs w:val="32"/>
          <w:highlight w:val="none"/>
        </w:rPr>
        <w:t>后</w:t>
      </w:r>
      <w:r>
        <w:rPr>
          <w:rFonts w:hint="eastAsia" w:ascii="Times New Roman" w:hAnsi="Times New Roman" w:eastAsia="仿宋_GB2312" w:cs="Times New Roman"/>
          <w:bCs/>
          <w:sz w:val="32"/>
          <w:szCs w:val="32"/>
          <w:highlight w:val="none"/>
        </w:rPr>
        <w:t>5个工作日内完成。</w:t>
      </w:r>
    </w:p>
    <w:p w14:paraId="769F71F6">
      <w:pPr>
        <w:pStyle w:val="17"/>
        <w:widowControl/>
        <w:snapToGrid w:val="0"/>
        <w:spacing w:line="588" w:lineRule="exact"/>
        <w:ind w:firstLine="640"/>
        <w:jc w:val="left"/>
        <w:rPr>
          <w:rFonts w:ascii="Times New Roman" w:hAnsi="Times New Roman" w:eastAsia="仿宋_GB2312" w:cs="Times New Roman"/>
          <w:bCs/>
          <w:sz w:val="32"/>
          <w:szCs w:val="32"/>
          <w:highlight w:val="none"/>
        </w:rPr>
      </w:pPr>
      <w:r>
        <w:rPr>
          <w:rFonts w:hint="eastAsia" w:ascii="Times New Roman" w:hAnsi="Times New Roman" w:eastAsia="仿宋_GB2312" w:cs="Times New Roman"/>
          <w:bCs/>
          <w:sz w:val="32"/>
          <w:szCs w:val="32"/>
          <w:highlight w:val="none"/>
        </w:rPr>
        <w:t>（二）电网企业根据厂网双方确认的</w:t>
      </w:r>
      <w:r>
        <w:rPr>
          <w:rFonts w:hint="eastAsia" w:ascii="Times New Roman" w:hAnsi="Times New Roman" w:eastAsia="仿宋_GB2312" w:cs="Times New Roman"/>
          <w:bCs/>
          <w:sz w:val="32"/>
          <w:szCs w:val="32"/>
          <w:highlight w:val="none"/>
          <w:lang w:eastAsia="zh-CN"/>
        </w:rPr>
        <w:t>电费账单</w:t>
      </w:r>
      <w:r>
        <w:rPr>
          <w:rFonts w:hint="eastAsia" w:ascii="Times New Roman" w:hAnsi="Times New Roman" w:eastAsia="仿宋_GB2312" w:cs="Times New Roman"/>
          <w:bCs/>
          <w:sz w:val="32"/>
          <w:szCs w:val="32"/>
          <w:highlight w:val="none"/>
        </w:rPr>
        <w:t>、发电企业开具的增值税专用发票，及时足额支付发电企业电费。电费原则上一</w:t>
      </w:r>
      <w:r>
        <w:rPr>
          <w:rFonts w:hint="eastAsia" w:ascii="Times New Roman" w:hAnsi="Times New Roman" w:eastAsia="仿宋_GB2312" w:cs="仿宋_GB2312"/>
          <w:bCs/>
          <w:sz w:val="32"/>
          <w:szCs w:val="32"/>
          <w:highlight w:val="none"/>
        </w:rPr>
        <w:t>次性支付，</w:t>
      </w:r>
      <w:r>
        <w:rPr>
          <w:rFonts w:hint="eastAsia" w:ascii="Times New Roman" w:hAnsi="Times New Roman" w:eastAsia="仿宋_GB2312" w:cs="仿宋_GB2312"/>
          <w:b w:val="0"/>
          <w:bCs/>
          <w:sz w:val="32"/>
          <w:szCs w:val="32"/>
          <w:highlight w:val="none"/>
          <w:lang w:eastAsia="zh-CN"/>
        </w:rPr>
        <w:t>在发电企业向电网企业开具发票</w:t>
      </w:r>
      <w:r>
        <w:rPr>
          <w:rFonts w:hint="eastAsia" w:ascii="Times New Roman" w:hAnsi="Times New Roman" w:eastAsia="仿宋_GB2312" w:cs="仿宋_GB2312"/>
          <w:b w:val="0"/>
          <w:bCs/>
          <w:sz w:val="32"/>
          <w:szCs w:val="32"/>
          <w:highlight w:val="none"/>
        </w:rPr>
        <w:t>后</w:t>
      </w:r>
      <w:r>
        <w:rPr>
          <w:rFonts w:hint="eastAsia" w:ascii="Times New Roman" w:hAnsi="Times New Roman" w:eastAsia="仿宋_GB2312" w:cs="仿宋_GB2312"/>
          <w:b w:val="0"/>
          <w:bCs/>
          <w:sz w:val="32"/>
          <w:szCs w:val="32"/>
          <w:highlight w:val="none"/>
          <w:lang w:val="en-US" w:eastAsia="zh-CN"/>
        </w:rPr>
        <w:t>5</w:t>
      </w:r>
      <w:r>
        <w:rPr>
          <w:rFonts w:hint="eastAsia" w:ascii="Times New Roman" w:hAnsi="Times New Roman" w:eastAsia="仿宋_GB2312" w:cs="仿宋_GB2312"/>
          <w:bCs/>
          <w:sz w:val="32"/>
          <w:szCs w:val="32"/>
          <w:highlight w:val="none"/>
        </w:rPr>
        <w:t>个工作日内，由电网企业将当期电费全额支付给发电企业。电网企业经与发电企业协商一致后，也可分两次支付。第一次支付不低于该期电费的50%，付清时间不得超过</w:t>
      </w:r>
      <w:r>
        <w:rPr>
          <w:rFonts w:hint="eastAsia" w:ascii="Times New Roman" w:hAnsi="Times New Roman" w:eastAsia="仿宋_GB2312" w:cs="仿宋_GB2312"/>
          <w:bCs/>
          <w:sz w:val="32"/>
          <w:szCs w:val="32"/>
          <w:highlight w:val="none"/>
          <w:lang w:val="en-US" w:eastAsia="zh-CN"/>
        </w:rPr>
        <w:t>发电企业向电网企业开具发票后5</w:t>
      </w:r>
      <w:r>
        <w:rPr>
          <w:rFonts w:hint="eastAsia" w:ascii="Times New Roman" w:hAnsi="Times New Roman" w:eastAsia="仿宋_GB2312" w:cs="仿宋_GB2312"/>
          <w:bCs/>
          <w:sz w:val="32"/>
          <w:szCs w:val="32"/>
          <w:highlight w:val="none"/>
        </w:rPr>
        <w:t>个工作日，第二次付清时间不得超过</w:t>
      </w:r>
      <w:r>
        <w:rPr>
          <w:rFonts w:hint="eastAsia" w:ascii="Times New Roman" w:hAnsi="Times New Roman" w:eastAsia="仿宋_GB2312" w:cs="仿宋_GB2312"/>
          <w:b w:val="0"/>
          <w:bCs/>
          <w:sz w:val="32"/>
          <w:szCs w:val="32"/>
          <w:highlight w:val="none"/>
          <w:lang w:eastAsia="zh-CN"/>
        </w:rPr>
        <w:t>发电企业向电网企业开具发票</w:t>
      </w:r>
      <w:r>
        <w:rPr>
          <w:rFonts w:hint="eastAsia" w:ascii="Times New Roman" w:hAnsi="Times New Roman" w:eastAsia="仿宋_GB2312" w:cs="仿宋_GB2312"/>
          <w:bCs/>
          <w:sz w:val="32"/>
          <w:szCs w:val="32"/>
          <w:highlight w:val="none"/>
        </w:rPr>
        <w:t>后</w:t>
      </w:r>
      <w:r>
        <w:rPr>
          <w:rFonts w:hint="eastAsia" w:ascii="Times New Roman" w:hAnsi="Times New Roman" w:eastAsia="仿宋_GB2312" w:cs="仿宋_GB2312"/>
          <w:bCs/>
          <w:sz w:val="32"/>
          <w:szCs w:val="32"/>
          <w:highlight w:val="none"/>
          <w:lang w:val="en-US" w:eastAsia="zh-CN"/>
        </w:rPr>
        <w:t>10</w:t>
      </w:r>
      <w:r>
        <w:rPr>
          <w:rFonts w:hint="eastAsia" w:ascii="Times New Roman" w:hAnsi="Times New Roman" w:eastAsia="仿宋_GB2312" w:cs="仿宋_GB2312"/>
          <w:bCs/>
          <w:sz w:val="32"/>
          <w:szCs w:val="32"/>
          <w:highlight w:val="none"/>
        </w:rPr>
        <w:t>个工</w:t>
      </w:r>
      <w:r>
        <w:rPr>
          <w:rFonts w:hint="eastAsia" w:ascii="Times New Roman" w:hAnsi="Times New Roman" w:eastAsia="仿宋_GB2312" w:cs="Times New Roman"/>
          <w:bCs/>
          <w:sz w:val="32"/>
          <w:szCs w:val="32"/>
          <w:highlight w:val="none"/>
        </w:rPr>
        <w:t>作日。</w:t>
      </w:r>
    </w:p>
    <w:p w14:paraId="5A5D4740">
      <w:pPr>
        <w:pStyle w:val="17"/>
        <w:snapToGrid w:val="0"/>
        <w:spacing w:line="588" w:lineRule="exact"/>
        <w:ind w:firstLine="640"/>
        <w:rPr>
          <w:rFonts w:hint="default" w:ascii="Times New Roman" w:hAnsi="Times New Roman" w:eastAsia="仿宋_GB2312" w:cs="Times New Roman"/>
          <w:bCs/>
          <w:sz w:val="32"/>
          <w:szCs w:val="32"/>
          <w:highlight w:val="none"/>
          <w:lang w:val="en-US" w:eastAsia="zh-CN"/>
        </w:rPr>
      </w:pPr>
      <w:r>
        <w:rPr>
          <w:rFonts w:hint="eastAsia" w:ascii="Times New Roman" w:hAnsi="Times New Roman" w:eastAsia="仿宋_GB2312" w:cs="Times New Roman"/>
          <w:bCs/>
          <w:sz w:val="32"/>
          <w:szCs w:val="32"/>
          <w:highlight w:val="none"/>
        </w:rPr>
        <w:t>（三）因</w:t>
      </w:r>
      <w:r>
        <w:rPr>
          <w:rFonts w:hint="eastAsia" w:ascii="Times New Roman" w:hAnsi="Times New Roman" w:eastAsia="仿宋_GB2312" w:cs="Times New Roman"/>
          <w:bCs/>
          <w:sz w:val="32"/>
          <w:szCs w:val="32"/>
          <w:highlight w:val="none"/>
          <w:lang w:val="en-US" w:eastAsia="zh-CN"/>
        </w:rPr>
        <w:t>发电企业</w:t>
      </w:r>
      <w:r>
        <w:rPr>
          <w:rFonts w:hint="eastAsia" w:ascii="Times New Roman" w:hAnsi="Times New Roman" w:eastAsia="仿宋_GB2312" w:cs="Times New Roman"/>
          <w:bCs/>
          <w:sz w:val="32"/>
          <w:szCs w:val="32"/>
          <w:highlight w:val="none"/>
        </w:rPr>
        <w:t>发票开具不及时影响电费结算时限的，厂网双方做好情况记录并及时沟通解决。电网企业不得以用户侧（包括电力用户、售电公司，下同）欠费为由停止或者减少向发电企业支付上网电费，如不能按合同约定期限支付上网电费（不可抗力因素除外），应按双方协商约定向发电企业支付违约金。</w:t>
      </w:r>
      <w:r>
        <w:rPr>
          <w:rFonts w:hint="eastAsia" w:ascii="Times New Roman" w:hAnsi="Times New Roman" w:eastAsia="仿宋_GB2312" w:cs="Times New Roman"/>
          <w:bCs/>
          <w:sz w:val="32"/>
          <w:szCs w:val="32"/>
          <w:highlight w:val="none"/>
          <w:lang w:val="en-US" w:eastAsia="zh-CN"/>
        </w:rPr>
        <w:t>如</w:t>
      </w:r>
      <w:r>
        <w:rPr>
          <w:rFonts w:hint="eastAsia" w:ascii="Times New Roman" w:hAnsi="Times New Roman" w:eastAsia="仿宋_GB2312" w:cs="Times New Roman"/>
          <w:bCs/>
          <w:sz w:val="32"/>
          <w:szCs w:val="32"/>
          <w:highlight w:val="none"/>
        </w:rPr>
        <w:t>发电企业电费为负数，应按合同约定期限向电网企业支付电费，如不能按合同约定期限支付上网电费（不可抗力因素除外），应按双方协商约定向电网企业支付违约金。</w:t>
      </w:r>
      <w:r>
        <w:rPr>
          <w:rFonts w:hint="eastAsia" w:ascii="Times New Roman" w:hAnsi="Times New Roman" w:eastAsia="仿宋_GB2312" w:cs="Times New Roman"/>
          <w:bCs/>
          <w:sz w:val="32"/>
          <w:szCs w:val="32"/>
          <w:highlight w:val="none"/>
          <w:lang w:val="en-US" w:eastAsia="zh-CN"/>
        </w:rPr>
        <w:t>未与电网企业签订委托代理结算业务的，电网企业不承担欠费风险。</w:t>
      </w:r>
    </w:p>
    <w:p w14:paraId="3AF80A36">
      <w:pPr>
        <w:pStyle w:val="18"/>
        <w:numPr>
          <w:ilvl w:val="0"/>
          <w:numId w:val="1"/>
        </w:numPr>
        <w:snapToGrid w:val="0"/>
        <w:spacing w:line="588" w:lineRule="exact"/>
        <w:ind w:left="0" w:firstLine="640"/>
        <w:jc w:val="both"/>
        <w:rPr>
          <w:rFonts w:ascii="Times New Roman" w:hAnsi="Times New Roman" w:eastAsia="仿宋_GB2312" w:cs="Times New Roman"/>
          <w:bCs/>
          <w:sz w:val="32"/>
          <w:szCs w:val="32"/>
          <w:highlight w:val="none"/>
        </w:rPr>
      </w:pPr>
      <w:r>
        <w:rPr>
          <w:rFonts w:hint="eastAsia" w:ascii="Times New Roman" w:hAnsi="Times New Roman" w:eastAsia="仿宋_GB2312" w:cs="Times New Roman"/>
          <w:bCs/>
          <w:sz w:val="32"/>
          <w:szCs w:val="32"/>
          <w:highlight w:val="none"/>
        </w:rPr>
        <w:t>电力用户与电网企业间的</w:t>
      </w:r>
      <w:r>
        <w:rPr>
          <w:rFonts w:hint="eastAsia" w:ascii="Times New Roman" w:hAnsi="Times New Roman" w:eastAsia="仿宋_GB2312" w:cs="Times New Roman"/>
          <w:bCs/>
          <w:sz w:val="32"/>
          <w:szCs w:val="32"/>
          <w:highlight w:val="none"/>
          <w:lang w:val="en-US" w:eastAsia="zh-CN"/>
        </w:rPr>
        <w:t>电费</w:t>
      </w:r>
      <w:r>
        <w:rPr>
          <w:rFonts w:hint="eastAsia" w:ascii="Times New Roman" w:hAnsi="Times New Roman" w:eastAsia="仿宋_GB2312" w:cs="Times New Roman"/>
          <w:bCs/>
          <w:sz w:val="32"/>
          <w:szCs w:val="32"/>
          <w:highlight w:val="none"/>
        </w:rPr>
        <w:t>收付有关要求如下：</w:t>
      </w:r>
    </w:p>
    <w:p w14:paraId="77277475">
      <w:pPr>
        <w:pStyle w:val="17"/>
        <w:snapToGrid w:val="0"/>
        <w:spacing w:line="588" w:lineRule="exact"/>
        <w:ind w:left="0" w:firstLine="640"/>
        <w:rPr>
          <w:rFonts w:ascii="Times New Roman" w:hAnsi="Times New Roman" w:eastAsia="仿宋_GB2312" w:cs="Times New Roman"/>
          <w:bCs/>
          <w:sz w:val="32"/>
          <w:szCs w:val="32"/>
          <w:highlight w:val="none"/>
        </w:rPr>
      </w:pPr>
      <w:r>
        <w:rPr>
          <w:rFonts w:hint="eastAsia" w:ascii="Times New Roman" w:hAnsi="Times New Roman" w:eastAsia="仿宋_GB2312" w:cs="Times New Roman"/>
          <w:bCs/>
          <w:sz w:val="32"/>
          <w:szCs w:val="32"/>
          <w:highlight w:val="none"/>
        </w:rPr>
        <w:t>（一）电力用户应在合同约定期限内与电网</w:t>
      </w:r>
      <w:r>
        <w:rPr>
          <w:rFonts w:hint="eastAsia" w:ascii="Times New Roman" w:hAnsi="Times New Roman" w:eastAsia="仿宋_GB2312" w:cs="Times New Roman"/>
          <w:bCs/>
          <w:sz w:val="32"/>
          <w:szCs w:val="32"/>
          <w:highlight w:val="none"/>
          <w:lang w:val="en-US" w:eastAsia="zh-CN"/>
        </w:rPr>
        <w:t>企业</w:t>
      </w:r>
      <w:r>
        <w:rPr>
          <w:rFonts w:hint="eastAsia" w:ascii="Times New Roman" w:hAnsi="Times New Roman" w:eastAsia="仿宋_GB2312" w:cs="Times New Roman"/>
          <w:bCs/>
          <w:sz w:val="32"/>
          <w:szCs w:val="32"/>
          <w:highlight w:val="none"/>
        </w:rPr>
        <w:t>结清当期电费</w:t>
      </w:r>
      <w:r>
        <w:rPr>
          <w:rFonts w:hint="eastAsia" w:ascii="Times New Roman" w:hAnsi="Times New Roman" w:eastAsia="仿宋_GB2312" w:cs="Times New Roman"/>
          <w:bCs/>
          <w:sz w:val="32"/>
          <w:szCs w:val="32"/>
          <w:highlight w:val="none"/>
          <w:lang w:eastAsia="zh-CN"/>
        </w:rPr>
        <w:t>。</w:t>
      </w:r>
    </w:p>
    <w:p w14:paraId="624A7A9E">
      <w:pPr>
        <w:pStyle w:val="17"/>
        <w:snapToGrid w:val="0"/>
        <w:spacing w:line="588" w:lineRule="exact"/>
        <w:ind w:left="0" w:firstLine="640"/>
        <w:rPr>
          <w:rFonts w:ascii="Times New Roman" w:hAnsi="Times New Roman" w:eastAsia="仿宋_GB2312" w:cs="Times New Roman"/>
          <w:bCs/>
          <w:sz w:val="32"/>
          <w:szCs w:val="32"/>
          <w:highlight w:val="none"/>
        </w:rPr>
      </w:pPr>
      <w:r>
        <w:rPr>
          <w:rFonts w:hint="eastAsia" w:ascii="Times New Roman" w:hAnsi="Times New Roman" w:eastAsia="仿宋_GB2312" w:cs="Times New Roman"/>
          <w:bCs/>
          <w:sz w:val="32"/>
          <w:szCs w:val="32"/>
          <w:highlight w:val="none"/>
        </w:rPr>
        <w:t>（</w:t>
      </w:r>
      <w:r>
        <w:rPr>
          <w:rFonts w:hint="eastAsia" w:ascii="Times New Roman" w:hAnsi="Times New Roman" w:eastAsia="仿宋_GB2312" w:cs="Times New Roman"/>
          <w:bCs/>
          <w:sz w:val="32"/>
          <w:szCs w:val="32"/>
          <w:highlight w:val="none"/>
          <w:lang w:val="en-US" w:eastAsia="zh-CN"/>
        </w:rPr>
        <w:t>二</w:t>
      </w:r>
      <w:r>
        <w:rPr>
          <w:rFonts w:hint="eastAsia" w:ascii="Times New Roman" w:hAnsi="Times New Roman" w:eastAsia="仿宋_GB2312" w:cs="Times New Roman"/>
          <w:bCs/>
          <w:sz w:val="32"/>
          <w:szCs w:val="32"/>
          <w:highlight w:val="none"/>
        </w:rPr>
        <w:t>）若电力用户未在约定期限内完成电费支付，由电网企业负责催缴并采取有效措施收取电费</w:t>
      </w:r>
      <w:r>
        <w:rPr>
          <w:rFonts w:hint="eastAsia" w:ascii="Times New Roman" w:hAnsi="Times New Roman" w:eastAsia="仿宋_GB2312" w:cs="Times New Roman"/>
          <w:bCs/>
          <w:sz w:val="32"/>
          <w:szCs w:val="32"/>
          <w:highlight w:val="none"/>
          <w:lang w:eastAsia="zh-CN"/>
        </w:rPr>
        <w:t>，</w:t>
      </w:r>
      <w:r>
        <w:rPr>
          <w:rFonts w:hint="eastAsia" w:ascii="Times New Roman" w:hAnsi="Times New Roman" w:eastAsia="仿宋_GB2312" w:cs="Times New Roman"/>
          <w:bCs/>
          <w:sz w:val="32"/>
          <w:szCs w:val="32"/>
          <w:highlight w:val="none"/>
          <w:lang w:val="en-US" w:eastAsia="zh-CN"/>
        </w:rPr>
        <w:t>并</w:t>
      </w:r>
      <w:r>
        <w:rPr>
          <w:rFonts w:hint="eastAsia" w:ascii="Times New Roman" w:hAnsi="Times New Roman" w:eastAsia="仿宋_GB2312" w:cs="Times New Roman"/>
          <w:bCs/>
          <w:sz w:val="32"/>
          <w:szCs w:val="32"/>
          <w:highlight w:val="none"/>
        </w:rPr>
        <w:t>按照国家规定</w:t>
      </w:r>
      <w:r>
        <w:rPr>
          <w:rFonts w:hint="eastAsia" w:ascii="Times New Roman" w:hAnsi="Times New Roman" w:eastAsia="仿宋_GB2312" w:cs="Times New Roman"/>
          <w:bCs/>
          <w:sz w:val="32"/>
          <w:szCs w:val="32"/>
          <w:highlight w:val="none"/>
          <w:lang w:eastAsia="zh-CN"/>
        </w:rPr>
        <w:t>、</w:t>
      </w:r>
      <w:r>
        <w:rPr>
          <w:rFonts w:hint="eastAsia" w:ascii="Times New Roman" w:hAnsi="Times New Roman" w:eastAsia="仿宋_GB2312" w:cs="Times New Roman"/>
          <w:bCs/>
          <w:sz w:val="32"/>
          <w:szCs w:val="32"/>
          <w:highlight w:val="none"/>
          <w:lang w:val="en-US" w:eastAsia="zh-CN"/>
        </w:rPr>
        <w:t>合同约定</w:t>
      </w:r>
      <w:r>
        <w:rPr>
          <w:rFonts w:hint="eastAsia" w:ascii="Times New Roman" w:hAnsi="Times New Roman" w:eastAsia="仿宋_GB2312" w:cs="Times New Roman"/>
          <w:bCs/>
          <w:sz w:val="32"/>
          <w:szCs w:val="32"/>
          <w:highlight w:val="none"/>
        </w:rPr>
        <w:t>依法计收电费违约金。</w:t>
      </w:r>
      <w:r>
        <w:rPr>
          <w:rFonts w:hint="eastAsia" w:ascii="Times New Roman" w:hAnsi="Times New Roman" w:eastAsia="仿宋_GB2312" w:cs="Times New Roman"/>
          <w:bCs/>
          <w:sz w:val="32"/>
          <w:szCs w:val="32"/>
          <w:highlight w:val="none"/>
          <w:lang w:val="en-US" w:eastAsia="zh-CN"/>
        </w:rPr>
        <w:t>电力用户</w:t>
      </w:r>
      <w:r>
        <w:rPr>
          <w:rFonts w:hint="eastAsia" w:ascii="Times New Roman" w:hAnsi="Times New Roman" w:eastAsia="仿宋_GB2312" w:cs="Times New Roman"/>
          <w:bCs/>
          <w:sz w:val="32"/>
          <w:szCs w:val="32"/>
          <w:highlight w:val="none"/>
        </w:rPr>
        <w:t>经催缴仍未付清电费的，电网企业可按</w:t>
      </w:r>
      <w:r>
        <w:rPr>
          <w:rFonts w:hint="eastAsia" w:ascii="Times New Roman" w:hAnsi="Times New Roman" w:eastAsia="仿宋_GB2312" w:cs="Times New Roman"/>
          <w:bCs/>
          <w:sz w:val="32"/>
          <w:szCs w:val="32"/>
          <w:highlight w:val="none"/>
          <w:lang w:val="en-US" w:eastAsia="zh-CN"/>
        </w:rPr>
        <w:t>有关政策规定和合同约定程序</w:t>
      </w:r>
      <w:r>
        <w:rPr>
          <w:rFonts w:hint="eastAsia" w:ascii="Times New Roman" w:hAnsi="Times New Roman" w:eastAsia="仿宋_GB2312" w:cs="Times New Roman"/>
          <w:bCs/>
          <w:sz w:val="32"/>
          <w:szCs w:val="32"/>
          <w:highlight w:val="none"/>
        </w:rPr>
        <w:t>对</w:t>
      </w:r>
      <w:r>
        <w:rPr>
          <w:rFonts w:hint="eastAsia" w:ascii="Times New Roman" w:hAnsi="Times New Roman" w:eastAsia="仿宋_GB2312" w:cs="Times New Roman"/>
          <w:bCs/>
          <w:sz w:val="32"/>
          <w:szCs w:val="32"/>
          <w:highlight w:val="none"/>
          <w:lang w:val="en-US" w:eastAsia="zh-CN"/>
        </w:rPr>
        <w:t>电力用户</w:t>
      </w:r>
      <w:r>
        <w:rPr>
          <w:rFonts w:hint="eastAsia" w:ascii="Times New Roman" w:hAnsi="Times New Roman" w:eastAsia="仿宋_GB2312" w:cs="Times New Roman"/>
          <w:bCs/>
          <w:sz w:val="32"/>
          <w:szCs w:val="32"/>
          <w:highlight w:val="none"/>
        </w:rPr>
        <w:t>中止供电，相关损失由</w:t>
      </w:r>
      <w:r>
        <w:rPr>
          <w:rFonts w:hint="eastAsia" w:ascii="Times New Roman" w:hAnsi="Times New Roman" w:eastAsia="仿宋_GB2312" w:cs="Times New Roman"/>
          <w:bCs/>
          <w:sz w:val="32"/>
          <w:szCs w:val="32"/>
          <w:highlight w:val="none"/>
          <w:lang w:val="en-US" w:eastAsia="zh-CN"/>
        </w:rPr>
        <w:t>电力用户</w:t>
      </w:r>
      <w:r>
        <w:rPr>
          <w:rFonts w:hint="eastAsia" w:ascii="Times New Roman" w:hAnsi="Times New Roman" w:eastAsia="仿宋_GB2312" w:cs="Times New Roman"/>
          <w:bCs/>
          <w:sz w:val="32"/>
          <w:szCs w:val="32"/>
          <w:highlight w:val="none"/>
        </w:rPr>
        <w:t>承担，同时欠费记录纳入用户征信。</w:t>
      </w:r>
    </w:p>
    <w:p w14:paraId="7470A1C3">
      <w:pPr>
        <w:pStyle w:val="18"/>
        <w:numPr>
          <w:ilvl w:val="0"/>
          <w:numId w:val="1"/>
        </w:numPr>
        <w:snapToGrid w:val="0"/>
        <w:spacing w:line="588" w:lineRule="exact"/>
        <w:ind w:left="0" w:firstLine="640"/>
        <w:jc w:val="both"/>
        <w:rPr>
          <w:rFonts w:ascii="Times New Roman" w:hAnsi="Times New Roman" w:eastAsia="仿宋_GB2312" w:cs="Times New Roman"/>
          <w:bCs/>
          <w:sz w:val="32"/>
          <w:szCs w:val="32"/>
          <w:highlight w:val="none"/>
        </w:rPr>
      </w:pPr>
      <w:r>
        <w:rPr>
          <w:rFonts w:hint="eastAsia" w:ascii="Times New Roman" w:hAnsi="Times New Roman" w:eastAsia="仿宋_GB2312" w:cs="Times New Roman"/>
          <w:bCs/>
          <w:sz w:val="32"/>
          <w:szCs w:val="32"/>
          <w:highlight w:val="none"/>
        </w:rPr>
        <w:t>售电公司（</w:t>
      </w:r>
      <w:r>
        <w:rPr>
          <w:rFonts w:ascii="Times New Roman" w:hAnsi="Times New Roman" w:eastAsia="仿宋_GB2312" w:cs="仿宋_GB2312"/>
          <w:bCs/>
          <w:sz w:val="32"/>
          <w:szCs w:val="32"/>
          <w:highlight w:val="none"/>
        </w:rPr>
        <w:t>拥有配电网运营权的</w:t>
      </w:r>
      <w:r>
        <w:rPr>
          <w:rFonts w:hint="eastAsia" w:ascii="Times New Roman" w:hAnsi="Times New Roman" w:eastAsia="仿宋_GB2312" w:cs="仿宋_GB2312"/>
          <w:bCs/>
          <w:sz w:val="32"/>
          <w:szCs w:val="32"/>
          <w:highlight w:val="none"/>
        </w:rPr>
        <w:t>除外</w:t>
      </w:r>
      <w:r>
        <w:rPr>
          <w:rFonts w:hint="eastAsia" w:ascii="Times New Roman" w:hAnsi="Times New Roman" w:eastAsia="仿宋_GB2312" w:cs="Times New Roman"/>
          <w:bCs/>
          <w:sz w:val="32"/>
          <w:szCs w:val="32"/>
          <w:highlight w:val="none"/>
        </w:rPr>
        <w:t>）结算电费为零售市场与批发市场</w:t>
      </w:r>
      <w:r>
        <w:rPr>
          <w:rFonts w:hint="eastAsia" w:ascii="Times New Roman" w:hAnsi="Times New Roman" w:eastAsia="仿宋_GB2312" w:cs="Times New Roman"/>
          <w:bCs/>
          <w:sz w:val="32"/>
          <w:szCs w:val="32"/>
          <w:highlight w:val="none"/>
          <w:lang w:val="en-US" w:eastAsia="zh-CN"/>
        </w:rPr>
        <w:t>交易电费</w:t>
      </w:r>
      <w:r>
        <w:rPr>
          <w:rFonts w:hint="eastAsia" w:ascii="Times New Roman" w:hAnsi="Times New Roman" w:eastAsia="仿宋_GB2312" w:cs="Times New Roman"/>
          <w:bCs/>
          <w:sz w:val="32"/>
          <w:szCs w:val="32"/>
          <w:highlight w:val="none"/>
        </w:rPr>
        <w:t>之差。售电公司与电网企业间的</w:t>
      </w:r>
      <w:r>
        <w:rPr>
          <w:rFonts w:hint="eastAsia" w:ascii="Times New Roman" w:hAnsi="Times New Roman" w:eastAsia="仿宋_GB2312" w:cs="Times New Roman"/>
          <w:bCs/>
          <w:sz w:val="32"/>
          <w:szCs w:val="32"/>
          <w:highlight w:val="none"/>
          <w:lang w:val="en-US" w:eastAsia="zh-CN"/>
        </w:rPr>
        <w:t>电费</w:t>
      </w:r>
      <w:r>
        <w:rPr>
          <w:rFonts w:hint="eastAsia" w:ascii="Times New Roman" w:hAnsi="Times New Roman" w:eastAsia="仿宋_GB2312" w:cs="Times New Roman"/>
          <w:bCs/>
          <w:sz w:val="32"/>
          <w:szCs w:val="32"/>
          <w:highlight w:val="none"/>
        </w:rPr>
        <w:t>收付有关要求如下：</w:t>
      </w:r>
    </w:p>
    <w:p w14:paraId="199F5AAC">
      <w:pPr>
        <w:pStyle w:val="17"/>
        <w:snapToGrid w:val="0"/>
        <w:spacing w:line="588" w:lineRule="exact"/>
        <w:ind w:left="0" w:firstLine="640"/>
        <w:rPr>
          <w:rFonts w:ascii="Times New Roman" w:hAnsi="Times New Roman" w:eastAsia="仿宋_GB2312" w:cs="Times New Roman"/>
          <w:bCs/>
          <w:sz w:val="32"/>
          <w:szCs w:val="32"/>
          <w:highlight w:val="none"/>
        </w:rPr>
      </w:pPr>
      <w:r>
        <w:rPr>
          <w:rFonts w:hint="eastAsia" w:ascii="Times New Roman" w:hAnsi="Times New Roman" w:eastAsia="仿宋_GB2312" w:cs="Times New Roman"/>
          <w:bCs/>
          <w:sz w:val="32"/>
          <w:szCs w:val="32"/>
          <w:highlight w:val="none"/>
        </w:rPr>
        <w:t>（一）售电公司应与电网企业签订</w:t>
      </w:r>
      <w:r>
        <w:rPr>
          <w:rFonts w:hint="eastAsia" w:ascii="Times New Roman" w:hAnsi="Times New Roman" w:eastAsia="仿宋_GB2312" w:cs="Times New Roman"/>
          <w:bCs/>
          <w:sz w:val="32"/>
          <w:szCs w:val="32"/>
          <w:highlight w:val="none"/>
          <w:lang w:val="en-US" w:eastAsia="zh-CN"/>
        </w:rPr>
        <w:t>电费</w:t>
      </w:r>
      <w:r>
        <w:rPr>
          <w:rFonts w:hint="eastAsia" w:ascii="Times New Roman" w:hAnsi="Times New Roman" w:eastAsia="仿宋_GB2312" w:cs="Times New Roman"/>
          <w:bCs/>
          <w:sz w:val="32"/>
          <w:szCs w:val="32"/>
          <w:highlight w:val="none"/>
        </w:rPr>
        <w:t>结算协议，由电网企业</w:t>
      </w:r>
      <w:r>
        <w:rPr>
          <w:rFonts w:hint="eastAsia" w:ascii="Times New Roman" w:hAnsi="Times New Roman" w:eastAsia="仿宋_GB2312" w:cs="Times New Roman"/>
          <w:bCs/>
          <w:sz w:val="32"/>
          <w:szCs w:val="32"/>
          <w:highlight w:val="none"/>
          <w:lang w:val="en-US" w:eastAsia="zh-CN"/>
        </w:rPr>
        <w:t>按月</w:t>
      </w:r>
      <w:r>
        <w:rPr>
          <w:rFonts w:hint="eastAsia" w:ascii="Times New Roman" w:hAnsi="Times New Roman" w:eastAsia="仿宋_GB2312" w:cs="Times New Roman"/>
          <w:bCs/>
          <w:sz w:val="32"/>
          <w:szCs w:val="32"/>
          <w:highlight w:val="none"/>
        </w:rPr>
        <w:t>支付或收取售电公司电费，</w:t>
      </w:r>
      <w:r>
        <w:rPr>
          <w:rFonts w:hint="eastAsia" w:ascii="Times New Roman" w:hAnsi="Times New Roman" w:eastAsia="仿宋_GB2312" w:cs="Times New Roman"/>
          <w:bCs/>
          <w:sz w:val="32"/>
          <w:szCs w:val="32"/>
          <w:highlight w:val="none"/>
          <w:lang w:val="en-US" w:eastAsia="zh-CN"/>
        </w:rPr>
        <w:t>电费</w:t>
      </w:r>
      <w:r>
        <w:rPr>
          <w:rFonts w:hint="eastAsia" w:ascii="Times New Roman" w:hAnsi="Times New Roman" w:eastAsia="仿宋_GB2312" w:cs="Times New Roman"/>
          <w:bCs/>
          <w:sz w:val="32"/>
          <w:szCs w:val="32"/>
          <w:highlight w:val="none"/>
        </w:rPr>
        <w:t>收付要求按照协议约定执行。</w:t>
      </w:r>
    </w:p>
    <w:p w14:paraId="18948304">
      <w:pPr>
        <w:pStyle w:val="17"/>
        <w:snapToGrid w:val="0"/>
        <w:spacing w:line="588" w:lineRule="exact"/>
        <w:ind w:left="0" w:firstLine="640"/>
        <w:rPr>
          <w:rFonts w:ascii="Times New Roman" w:hAnsi="Times New Roman" w:eastAsia="仿宋_GB2312" w:cs="Times New Roman"/>
          <w:bCs/>
          <w:sz w:val="32"/>
          <w:szCs w:val="32"/>
          <w:highlight w:val="none"/>
        </w:rPr>
      </w:pPr>
      <w:r>
        <w:rPr>
          <w:rFonts w:hint="eastAsia" w:ascii="Times New Roman" w:hAnsi="Times New Roman" w:eastAsia="仿宋_GB2312" w:cs="Times New Roman"/>
          <w:bCs/>
          <w:sz w:val="32"/>
          <w:szCs w:val="32"/>
          <w:highlight w:val="none"/>
        </w:rPr>
        <w:t>（二）售电公司未及时足额缴纳电费</w:t>
      </w:r>
      <w:r>
        <w:rPr>
          <w:rFonts w:hint="eastAsia" w:ascii="Times New Roman" w:hAnsi="Times New Roman" w:eastAsia="仿宋_GB2312" w:cs="Times New Roman"/>
          <w:bCs/>
          <w:sz w:val="32"/>
          <w:szCs w:val="32"/>
          <w:highlight w:val="none"/>
          <w:lang w:val="en-US" w:eastAsia="zh-CN"/>
        </w:rPr>
        <w:t>的</w:t>
      </w:r>
      <w:r>
        <w:rPr>
          <w:rFonts w:hint="eastAsia" w:ascii="Times New Roman" w:hAnsi="Times New Roman" w:eastAsia="仿宋_GB2312" w:cs="Times New Roman"/>
          <w:bCs/>
          <w:sz w:val="32"/>
          <w:szCs w:val="32"/>
          <w:highlight w:val="none"/>
        </w:rPr>
        <w:t>，电网企业可按有关程序使用其提交的</w:t>
      </w:r>
      <w:r>
        <w:rPr>
          <w:rFonts w:hint="eastAsia" w:ascii="Times New Roman" w:hAnsi="Times New Roman" w:eastAsia="仿宋_GB2312" w:cs="Times New Roman"/>
          <w:bCs/>
          <w:sz w:val="32"/>
          <w:szCs w:val="32"/>
          <w:highlight w:val="none"/>
          <w:lang w:val="en-US" w:eastAsia="zh-CN"/>
        </w:rPr>
        <w:t>履约</w:t>
      </w:r>
      <w:r>
        <w:rPr>
          <w:rFonts w:hint="eastAsia" w:ascii="Times New Roman" w:hAnsi="Times New Roman" w:eastAsia="仿宋_GB2312" w:cs="Times New Roman"/>
          <w:bCs/>
          <w:sz w:val="32"/>
          <w:szCs w:val="32"/>
          <w:highlight w:val="none"/>
        </w:rPr>
        <w:t>保函</w:t>
      </w:r>
      <w:r>
        <w:rPr>
          <w:rFonts w:hint="eastAsia" w:ascii="Times New Roman" w:hAnsi="Times New Roman" w:eastAsia="仿宋_GB2312" w:cs="Times New Roman"/>
          <w:bCs/>
          <w:sz w:val="32"/>
          <w:szCs w:val="32"/>
          <w:highlight w:val="none"/>
          <w:lang w:eastAsia="zh-CN"/>
        </w:rPr>
        <w:t>、</w:t>
      </w:r>
      <w:r>
        <w:rPr>
          <w:rFonts w:hint="eastAsia" w:ascii="Times New Roman" w:hAnsi="Times New Roman" w:eastAsia="仿宋_GB2312" w:cs="Times New Roman"/>
          <w:bCs/>
          <w:sz w:val="32"/>
          <w:szCs w:val="32"/>
          <w:highlight w:val="none"/>
        </w:rPr>
        <w:t>保险等信用担保物。</w:t>
      </w:r>
    </w:p>
    <w:p w14:paraId="14970270">
      <w:pPr>
        <w:pStyle w:val="18"/>
        <w:numPr>
          <w:ilvl w:val="0"/>
          <w:numId w:val="1"/>
        </w:numPr>
        <w:snapToGrid w:val="0"/>
        <w:spacing w:line="588" w:lineRule="exact"/>
        <w:ind w:firstLine="640"/>
        <w:jc w:val="left"/>
        <w:rPr>
          <w:rFonts w:ascii="Times New Roman" w:hAnsi="Times New Roman" w:eastAsia="仿宋_GB2312" w:cs="Times New Roman"/>
          <w:bCs/>
          <w:sz w:val="32"/>
          <w:szCs w:val="32"/>
          <w:highlight w:val="none"/>
        </w:rPr>
      </w:pPr>
      <w:r>
        <w:rPr>
          <w:rFonts w:hint="eastAsia" w:ascii="Times New Roman" w:hAnsi="Times New Roman" w:eastAsia="仿宋_GB2312" w:cs="Times New Roman"/>
          <w:bCs/>
          <w:sz w:val="32"/>
          <w:szCs w:val="32"/>
          <w:highlight w:val="none"/>
          <w:lang w:val="en-US" w:eastAsia="zh-CN"/>
        </w:rPr>
        <w:t>经双方协商一致，允许电网企业使用承兑汇票、国内信用证等非现金方式与发电企业结算电费，并在购售电合同中明确采取买方付息等方式承担资金成本和兑付风险。</w:t>
      </w:r>
    </w:p>
    <w:p w14:paraId="6262BA01">
      <w:pPr>
        <w:pStyle w:val="18"/>
        <w:numPr>
          <w:ilvl w:val="0"/>
          <w:numId w:val="1"/>
        </w:numPr>
        <w:snapToGrid w:val="0"/>
        <w:spacing w:line="588" w:lineRule="exact"/>
        <w:ind w:firstLine="640"/>
        <w:jc w:val="both"/>
        <w:rPr>
          <w:rFonts w:ascii="Times New Roman" w:hAnsi="Times New Roman" w:eastAsia="仿宋_GB2312" w:cs="Times New Roman"/>
          <w:bCs/>
          <w:sz w:val="32"/>
          <w:szCs w:val="32"/>
          <w:highlight w:val="none"/>
        </w:rPr>
      </w:pPr>
      <w:r>
        <w:rPr>
          <w:rFonts w:hint="eastAsia" w:ascii="Times New Roman" w:hAnsi="Times New Roman" w:eastAsia="仿宋_GB2312" w:cs="Times New Roman"/>
          <w:bCs/>
          <w:sz w:val="32"/>
          <w:szCs w:val="32"/>
          <w:highlight w:val="none"/>
        </w:rPr>
        <w:t>新型经营主体的资金收付参照上述</w:t>
      </w:r>
      <w:r>
        <w:rPr>
          <w:rFonts w:hint="eastAsia" w:ascii="Times New Roman" w:hAnsi="Times New Roman" w:eastAsia="仿宋_GB2312" w:cs="Times New Roman"/>
          <w:bCs/>
          <w:sz w:val="32"/>
          <w:szCs w:val="32"/>
          <w:highlight w:val="none"/>
          <w:lang w:val="en-US" w:eastAsia="zh-CN"/>
        </w:rPr>
        <w:t>条款</w:t>
      </w:r>
      <w:r>
        <w:rPr>
          <w:rFonts w:hint="eastAsia" w:ascii="Times New Roman" w:hAnsi="Times New Roman" w:eastAsia="仿宋_GB2312" w:cs="Times New Roman"/>
          <w:bCs/>
          <w:sz w:val="32"/>
          <w:szCs w:val="32"/>
          <w:highlight w:val="none"/>
        </w:rPr>
        <w:t>执行。</w:t>
      </w:r>
    </w:p>
    <w:p w14:paraId="024FB930">
      <w:pPr>
        <w:snapToGrid w:val="0"/>
        <w:spacing w:line="588" w:lineRule="exact"/>
        <w:jc w:val="center"/>
        <w:outlineLvl w:val="1"/>
        <w:rPr>
          <w:rFonts w:hint="default" w:ascii="Times New Roman" w:hAnsi="Times New Roman" w:eastAsia="楷体_GB2312" w:cs="Times New Roman"/>
          <w:sz w:val="32"/>
          <w:szCs w:val="32"/>
          <w:highlight w:val="none"/>
          <w:lang w:val="en-US" w:eastAsia="zh-CN"/>
        </w:rPr>
      </w:pPr>
      <w:bookmarkStart w:id="219" w:name="_Toc27712"/>
      <w:bookmarkStart w:id="220" w:name="_Toc19769"/>
      <w:bookmarkStart w:id="221" w:name="_Toc7343"/>
      <w:bookmarkStart w:id="222" w:name="_Toc28740"/>
      <w:r>
        <w:rPr>
          <w:rFonts w:hint="eastAsia" w:ascii="Times New Roman" w:hAnsi="Times New Roman" w:eastAsia="楷体_GB2312" w:cs="Times New Roman"/>
          <w:sz w:val="32"/>
          <w:szCs w:val="32"/>
          <w:highlight w:val="none"/>
        </w:rPr>
        <w:t>第</w:t>
      </w:r>
      <w:r>
        <w:rPr>
          <w:rFonts w:hint="eastAsia" w:ascii="Times New Roman" w:hAnsi="Times New Roman" w:eastAsia="楷体_GB2312" w:cs="Times New Roman"/>
          <w:sz w:val="32"/>
          <w:szCs w:val="32"/>
          <w:highlight w:val="none"/>
          <w:lang w:val="en-US" w:eastAsia="zh-CN"/>
        </w:rPr>
        <w:t>四</w:t>
      </w:r>
      <w:r>
        <w:rPr>
          <w:rFonts w:hint="eastAsia" w:ascii="Times New Roman" w:hAnsi="Times New Roman" w:eastAsia="楷体_GB2312" w:cs="Times New Roman"/>
          <w:sz w:val="32"/>
          <w:szCs w:val="32"/>
          <w:highlight w:val="none"/>
        </w:rPr>
        <w:t xml:space="preserve">节 </w:t>
      </w:r>
      <w:r>
        <w:rPr>
          <w:rFonts w:hint="eastAsia" w:ascii="Times New Roman" w:hAnsi="Times New Roman" w:eastAsia="楷体_GB2312" w:cs="Times New Roman"/>
          <w:sz w:val="32"/>
          <w:szCs w:val="32"/>
          <w:highlight w:val="none"/>
          <w:lang w:val="en-US" w:eastAsia="zh-CN"/>
        </w:rPr>
        <w:t>结算调整</w:t>
      </w:r>
      <w:bookmarkEnd w:id="219"/>
      <w:bookmarkEnd w:id="220"/>
      <w:bookmarkEnd w:id="221"/>
      <w:bookmarkEnd w:id="222"/>
    </w:p>
    <w:p w14:paraId="26A23824">
      <w:pPr>
        <w:pStyle w:val="18"/>
        <w:numPr>
          <w:ilvl w:val="0"/>
          <w:numId w:val="1"/>
        </w:numPr>
        <w:snapToGrid w:val="0"/>
        <w:spacing w:line="588" w:lineRule="exact"/>
        <w:ind w:left="0" w:firstLine="640" w:firstLineChars="200"/>
        <w:jc w:val="both"/>
        <w:rPr>
          <w:rFonts w:ascii="Times New Roman" w:hAnsi="Times New Roman" w:eastAsia="仿宋_GB2312" w:cs="Times New Roman"/>
          <w:bCs/>
          <w:sz w:val="32"/>
          <w:szCs w:val="32"/>
          <w:highlight w:val="none"/>
        </w:rPr>
      </w:pPr>
      <w:r>
        <w:rPr>
          <w:rFonts w:hint="eastAsia" w:ascii="Times New Roman" w:hAnsi="Times New Roman" w:eastAsia="仿宋_GB2312" w:cs="Times New Roman"/>
          <w:bCs/>
          <w:sz w:val="32"/>
          <w:szCs w:val="32"/>
          <w:highlight w:val="none"/>
        </w:rPr>
        <w:t>结算调整</w:t>
      </w:r>
      <w:r>
        <w:rPr>
          <w:rFonts w:hint="eastAsia" w:ascii="Times New Roman" w:hAnsi="Times New Roman" w:eastAsia="仿宋_GB2312" w:cs="Times New Roman"/>
          <w:bCs/>
          <w:sz w:val="32"/>
          <w:szCs w:val="32"/>
          <w:highlight w:val="none"/>
          <w:lang w:val="en-US" w:eastAsia="zh-CN"/>
        </w:rPr>
        <w:t>是</w:t>
      </w:r>
      <w:r>
        <w:rPr>
          <w:rFonts w:hint="eastAsia" w:ascii="Times New Roman" w:hAnsi="Times New Roman" w:eastAsia="仿宋_GB2312" w:cs="Times New Roman"/>
          <w:bCs/>
          <w:sz w:val="32"/>
          <w:szCs w:val="32"/>
          <w:highlight w:val="none"/>
        </w:rPr>
        <w:t>指结算</w:t>
      </w:r>
      <w:r>
        <w:rPr>
          <w:rFonts w:hint="eastAsia" w:ascii="Times New Roman" w:hAnsi="Times New Roman" w:eastAsia="仿宋_GB2312" w:cs="Times New Roman"/>
          <w:bCs/>
          <w:sz w:val="32"/>
          <w:szCs w:val="32"/>
          <w:highlight w:val="none"/>
          <w:lang w:val="en-US" w:eastAsia="zh-CN"/>
        </w:rPr>
        <w:t>依据或电费账单正式</w:t>
      </w:r>
      <w:r>
        <w:rPr>
          <w:rFonts w:hint="eastAsia" w:ascii="Times New Roman" w:hAnsi="Times New Roman" w:eastAsia="仿宋_GB2312" w:cs="Times New Roman"/>
          <w:bCs/>
          <w:sz w:val="32"/>
          <w:szCs w:val="32"/>
          <w:highlight w:val="none"/>
        </w:rPr>
        <w:t>发布后，</w:t>
      </w:r>
      <w:r>
        <w:rPr>
          <w:rFonts w:hint="eastAsia" w:ascii="Times New Roman" w:hAnsi="Times New Roman" w:eastAsia="仿宋_GB2312" w:cs="Times New Roman"/>
          <w:sz w:val="32"/>
          <w:szCs w:val="32"/>
          <w:highlight w:val="none"/>
        </w:rPr>
        <w:t>因故需对</w:t>
      </w:r>
      <w:r>
        <w:rPr>
          <w:rFonts w:hint="eastAsia" w:ascii="Times New Roman" w:hAnsi="Times New Roman" w:eastAsia="仿宋_GB2312" w:cs="Times New Roman"/>
          <w:bCs/>
          <w:sz w:val="32"/>
          <w:szCs w:val="32"/>
          <w:highlight w:val="none"/>
          <w:lang w:val="en-US" w:eastAsia="zh-CN"/>
        </w:rPr>
        <w:t>结算依据、电费账单</w:t>
      </w:r>
      <w:r>
        <w:rPr>
          <w:rFonts w:hint="eastAsia" w:ascii="Times New Roman" w:hAnsi="Times New Roman" w:eastAsia="仿宋_GB2312" w:cs="Times New Roman"/>
          <w:sz w:val="32"/>
          <w:szCs w:val="32"/>
          <w:highlight w:val="none"/>
        </w:rPr>
        <w:t>调整而开展的</w:t>
      </w:r>
      <w:r>
        <w:rPr>
          <w:rFonts w:hint="eastAsia" w:ascii="Times New Roman" w:hAnsi="Times New Roman" w:eastAsia="仿宋_GB2312" w:cs="Times New Roman"/>
          <w:bCs/>
          <w:sz w:val="32"/>
          <w:szCs w:val="32"/>
          <w:highlight w:val="none"/>
        </w:rPr>
        <w:t>退补及清算</w:t>
      </w:r>
      <w:r>
        <w:rPr>
          <w:rFonts w:hint="eastAsia" w:ascii="Times New Roman" w:hAnsi="Times New Roman" w:eastAsia="仿宋_GB2312" w:cs="Times New Roman"/>
          <w:sz w:val="32"/>
          <w:szCs w:val="32"/>
          <w:highlight w:val="none"/>
        </w:rPr>
        <w:t>工作。</w:t>
      </w:r>
    </w:p>
    <w:p w14:paraId="5A70A946">
      <w:pPr>
        <w:pStyle w:val="18"/>
        <w:numPr>
          <w:ilvl w:val="0"/>
          <w:numId w:val="1"/>
        </w:numPr>
        <w:snapToGrid w:val="0"/>
        <w:spacing w:line="588" w:lineRule="exact"/>
        <w:ind w:left="0" w:firstLine="640" w:firstLineChars="200"/>
        <w:jc w:val="both"/>
        <w:rPr>
          <w:rFonts w:ascii="Times New Roman" w:hAnsi="Times New Roman" w:eastAsia="仿宋_GB2312" w:cs="Times New Roman"/>
          <w:bCs/>
          <w:sz w:val="32"/>
          <w:szCs w:val="32"/>
          <w:highlight w:val="none"/>
        </w:rPr>
      </w:pPr>
      <w:r>
        <w:rPr>
          <w:rFonts w:hint="eastAsia" w:ascii="Times New Roman" w:hAnsi="Times New Roman" w:eastAsia="仿宋_GB2312" w:cs="Times New Roman"/>
          <w:bCs/>
          <w:sz w:val="32"/>
          <w:szCs w:val="32"/>
          <w:highlight w:val="none"/>
        </w:rPr>
        <w:t>退补</w:t>
      </w:r>
      <w:r>
        <w:rPr>
          <w:rFonts w:hint="eastAsia" w:ascii="Times New Roman" w:hAnsi="Times New Roman" w:eastAsia="仿宋_GB2312" w:cs="Times New Roman"/>
          <w:bCs/>
          <w:sz w:val="32"/>
          <w:szCs w:val="32"/>
          <w:highlight w:val="none"/>
          <w:lang w:val="en-US" w:eastAsia="zh-CN"/>
        </w:rPr>
        <w:t>是</w:t>
      </w:r>
      <w:r>
        <w:rPr>
          <w:rFonts w:hint="eastAsia" w:ascii="Times New Roman" w:hAnsi="Times New Roman" w:eastAsia="仿宋_GB2312" w:cs="Times New Roman"/>
          <w:bCs/>
          <w:sz w:val="32"/>
          <w:szCs w:val="32"/>
          <w:highlight w:val="none"/>
        </w:rPr>
        <w:t>指因计量、档案</w:t>
      </w:r>
      <w:r>
        <w:rPr>
          <w:rFonts w:hint="eastAsia" w:ascii="Times New Roman" w:hAnsi="Times New Roman" w:eastAsia="仿宋_GB2312" w:cs="Times New Roman"/>
          <w:bCs/>
          <w:sz w:val="32"/>
          <w:szCs w:val="32"/>
          <w:highlight w:val="none"/>
          <w:lang w:eastAsia="zh-CN"/>
        </w:rPr>
        <w:t>、</w:t>
      </w:r>
      <w:r>
        <w:rPr>
          <w:rFonts w:hint="eastAsia" w:ascii="Times New Roman" w:hAnsi="Times New Roman" w:eastAsia="仿宋_GB2312" w:cs="Times New Roman"/>
          <w:bCs/>
          <w:sz w:val="32"/>
          <w:szCs w:val="32"/>
          <w:highlight w:val="none"/>
          <w:lang w:val="en-US" w:eastAsia="zh-CN"/>
        </w:rPr>
        <w:t>合同、出清</w:t>
      </w:r>
      <w:r>
        <w:rPr>
          <w:rFonts w:hint="eastAsia" w:ascii="Times New Roman" w:hAnsi="Times New Roman" w:eastAsia="仿宋_GB2312" w:cs="Times New Roman"/>
          <w:bCs/>
          <w:sz w:val="32"/>
          <w:szCs w:val="32"/>
          <w:highlight w:val="none"/>
        </w:rPr>
        <w:t>等数据差错</w:t>
      </w:r>
      <w:r>
        <w:rPr>
          <w:rFonts w:hint="eastAsia" w:ascii="Times New Roman" w:hAnsi="Times New Roman" w:eastAsia="仿宋_GB2312" w:cs="Times New Roman"/>
          <w:bCs/>
          <w:sz w:val="32"/>
          <w:szCs w:val="32"/>
          <w:highlight w:val="none"/>
          <w:lang w:eastAsia="zh-CN"/>
        </w:rPr>
        <w:t>、变更等</w:t>
      </w:r>
      <w:r>
        <w:rPr>
          <w:rFonts w:hint="eastAsia" w:ascii="Times New Roman" w:hAnsi="Times New Roman" w:eastAsia="仿宋_GB2312" w:cs="Times New Roman"/>
          <w:bCs/>
          <w:sz w:val="32"/>
          <w:szCs w:val="32"/>
          <w:highlight w:val="none"/>
        </w:rPr>
        <w:t>原因以及</w:t>
      </w:r>
      <w:r>
        <w:rPr>
          <w:rFonts w:hint="eastAsia" w:ascii="Times New Roman" w:hAnsi="Times New Roman" w:eastAsia="仿宋_GB2312" w:cs="Times New Roman"/>
          <w:bCs/>
          <w:sz w:val="32"/>
          <w:szCs w:val="32"/>
          <w:highlight w:val="none"/>
          <w:lang w:eastAsia="zh-CN"/>
        </w:rPr>
        <w:t>其他</w:t>
      </w:r>
      <w:r>
        <w:rPr>
          <w:rFonts w:hint="eastAsia" w:ascii="Times New Roman" w:hAnsi="Times New Roman" w:eastAsia="仿宋_GB2312" w:cs="Times New Roman"/>
          <w:bCs/>
          <w:sz w:val="32"/>
          <w:szCs w:val="32"/>
          <w:highlight w:val="none"/>
        </w:rPr>
        <w:t>规则允许</w:t>
      </w:r>
      <w:r>
        <w:rPr>
          <w:rFonts w:hint="eastAsia" w:ascii="Times New Roman" w:hAnsi="Times New Roman" w:eastAsia="仿宋_GB2312" w:cs="Times New Roman"/>
          <w:bCs/>
          <w:sz w:val="32"/>
          <w:szCs w:val="32"/>
          <w:highlight w:val="none"/>
          <w:lang w:eastAsia="zh-CN"/>
        </w:rPr>
        <w:t>情况</w:t>
      </w:r>
      <w:r>
        <w:rPr>
          <w:rFonts w:hint="eastAsia" w:ascii="Times New Roman" w:hAnsi="Times New Roman" w:eastAsia="仿宋_GB2312" w:cs="Times New Roman"/>
          <w:bCs/>
          <w:sz w:val="32"/>
          <w:szCs w:val="32"/>
          <w:highlight w:val="none"/>
        </w:rPr>
        <w:t>而产生的结算调整工作。退补应设追溯期</w:t>
      </w:r>
      <w:r>
        <w:rPr>
          <w:rFonts w:hint="eastAsia" w:ascii="Times New Roman" w:hAnsi="Times New Roman" w:eastAsia="仿宋_GB2312" w:cs="Times New Roman"/>
          <w:bCs/>
          <w:sz w:val="32"/>
          <w:szCs w:val="32"/>
          <w:highlight w:val="none"/>
          <w:lang w:val="en-US" w:eastAsia="zh-CN"/>
        </w:rPr>
        <w:t>，</w:t>
      </w:r>
      <w:r>
        <w:rPr>
          <w:rFonts w:hint="eastAsia" w:ascii="Times New Roman" w:hAnsi="Times New Roman" w:eastAsia="仿宋_GB2312" w:cs="Times New Roman"/>
          <w:bCs/>
          <w:sz w:val="32"/>
          <w:szCs w:val="32"/>
          <w:highlight w:val="none"/>
        </w:rPr>
        <w:t>原则上不超过12个月。</w:t>
      </w:r>
    </w:p>
    <w:p w14:paraId="735AF598">
      <w:pPr>
        <w:pStyle w:val="18"/>
        <w:numPr>
          <w:ilvl w:val="0"/>
          <w:numId w:val="1"/>
        </w:numPr>
        <w:snapToGrid w:val="0"/>
        <w:spacing w:line="588" w:lineRule="exact"/>
        <w:ind w:left="0" w:firstLine="640" w:firstLineChars="200"/>
        <w:jc w:val="both"/>
        <w:rPr>
          <w:rFonts w:ascii="Times New Roman" w:hAnsi="Times New Roman" w:eastAsia="仿宋_GB2312" w:cs="Times New Roman"/>
          <w:bCs/>
          <w:sz w:val="32"/>
          <w:szCs w:val="32"/>
          <w:highlight w:val="none"/>
        </w:rPr>
      </w:pPr>
      <w:r>
        <w:rPr>
          <w:rFonts w:hint="eastAsia" w:ascii="Times New Roman" w:hAnsi="Times New Roman" w:eastAsia="仿宋_GB2312" w:cs="Times New Roman"/>
          <w:bCs/>
          <w:sz w:val="32"/>
          <w:szCs w:val="32"/>
          <w:highlight w:val="none"/>
        </w:rPr>
        <w:t>清算</w:t>
      </w:r>
      <w:r>
        <w:rPr>
          <w:rFonts w:hint="eastAsia" w:ascii="Times New Roman" w:hAnsi="Times New Roman" w:eastAsia="仿宋_GB2312" w:cs="Times New Roman"/>
          <w:bCs/>
          <w:sz w:val="32"/>
          <w:szCs w:val="32"/>
          <w:highlight w:val="none"/>
          <w:lang w:val="en-US" w:eastAsia="zh-CN"/>
        </w:rPr>
        <w:t>是</w:t>
      </w:r>
      <w:r>
        <w:rPr>
          <w:rFonts w:hint="eastAsia" w:ascii="Times New Roman" w:hAnsi="Times New Roman" w:eastAsia="仿宋_GB2312" w:cs="Times New Roman"/>
          <w:bCs/>
          <w:sz w:val="32"/>
          <w:szCs w:val="32"/>
          <w:highlight w:val="none"/>
        </w:rPr>
        <w:t>指因政策规则调整、临时电价结算等原因产生的结算调整工作</w:t>
      </w:r>
      <w:r>
        <w:rPr>
          <w:rFonts w:hint="eastAsia" w:ascii="Times New Roman" w:hAnsi="Times New Roman" w:eastAsia="仿宋_GB2312" w:cs="Times New Roman"/>
          <w:bCs/>
          <w:sz w:val="32"/>
          <w:szCs w:val="32"/>
          <w:highlight w:val="none"/>
          <w:lang w:eastAsia="zh-CN"/>
        </w:rPr>
        <w:t>。</w:t>
      </w:r>
      <w:r>
        <w:rPr>
          <w:rFonts w:hint="eastAsia" w:ascii="Times New Roman" w:hAnsi="Times New Roman" w:eastAsia="仿宋_GB2312" w:cs="Times New Roman"/>
          <w:bCs/>
          <w:sz w:val="32"/>
          <w:szCs w:val="32"/>
          <w:highlight w:val="none"/>
          <w:lang w:val="en-US" w:eastAsia="zh-CN"/>
        </w:rPr>
        <w:t>清算应严格按照结算依据形成与发布流程开展</w:t>
      </w:r>
      <w:r>
        <w:rPr>
          <w:rFonts w:hint="eastAsia" w:ascii="Times New Roman" w:hAnsi="Times New Roman" w:eastAsia="仿宋_GB2312" w:cs="Times New Roman"/>
          <w:bCs/>
          <w:sz w:val="32"/>
          <w:szCs w:val="32"/>
          <w:highlight w:val="none"/>
        </w:rPr>
        <w:t>。</w:t>
      </w:r>
    </w:p>
    <w:p w14:paraId="19667B78">
      <w:pPr>
        <w:pStyle w:val="18"/>
        <w:numPr>
          <w:ilvl w:val="0"/>
          <w:numId w:val="1"/>
        </w:numPr>
        <w:snapToGrid w:val="0"/>
        <w:spacing w:line="588" w:lineRule="exact"/>
        <w:ind w:left="0" w:firstLine="640" w:firstLineChars="200"/>
        <w:jc w:val="both"/>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lang w:val="en-US" w:eastAsia="zh-CN"/>
        </w:rPr>
        <w:t>结算依据或电费账单发布后，如市场主体存在异议，可在15个工作日内分别向电力交易机构、电网企业提出结算问询。电力交易机构或电网企业在收到问询后，5个工作日内确认和评估问询是否属实，经核查属实的，在下一结算周期</w:t>
      </w:r>
      <w:r>
        <w:rPr>
          <w:rFonts w:hint="eastAsia" w:ascii="Times New Roman" w:hAnsi="Times New Roman" w:eastAsia="仿宋_GB2312" w:cs="仿宋_GB2312"/>
          <w:bCs/>
          <w:sz w:val="32"/>
          <w:szCs w:val="32"/>
          <w:highlight w:val="none"/>
        </w:rPr>
        <w:t>进行</w:t>
      </w:r>
      <w:r>
        <w:rPr>
          <w:rFonts w:hint="eastAsia" w:ascii="Times New Roman" w:hAnsi="Times New Roman" w:eastAsia="仿宋_GB2312" w:cs="仿宋_GB2312"/>
          <w:bCs/>
          <w:sz w:val="32"/>
          <w:szCs w:val="32"/>
          <w:highlight w:val="none"/>
          <w:lang w:val="en-US" w:eastAsia="zh-CN"/>
        </w:rPr>
        <w:t>结算调整。</w:t>
      </w:r>
    </w:p>
    <w:p w14:paraId="34243278">
      <w:pPr>
        <w:pStyle w:val="18"/>
        <w:numPr>
          <w:ilvl w:val="-1"/>
          <w:numId w:val="0"/>
        </w:numPr>
        <w:snapToGrid w:val="0"/>
        <w:spacing w:line="588" w:lineRule="exact"/>
        <w:ind w:left="420" w:leftChars="200" w:firstLine="0" w:firstLineChars="0"/>
        <w:jc w:val="both"/>
        <w:outlineLvl w:val="9"/>
        <w:rPr>
          <w:rFonts w:hint="eastAsia" w:ascii="Times New Roman" w:hAnsi="Times New Roman" w:eastAsia="黑体" w:cs="黑体"/>
          <w:sz w:val="32"/>
          <w:szCs w:val="32"/>
          <w:highlight w:val="none"/>
        </w:rPr>
      </w:pPr>
      <w:bookmarkStart w:id="223" w:name="_Toc19833"/>
      <w:bookmarkEnd w:id="223"/>
      <w:bookmarkStart w:id="224" w:name="_Toc16140"/>
      <w:bookmarkEnd w:id="224"/>
      <w:bookmarkStart w:id="225" w:name="_Toc29250"/>
      <w:bookmarkStart w:id="226" w:name="_Toc23347"/>
      <w:bookmarkStart w:id="227" w:name="_Toc17336"/>
      <w:bookmarkStart w:id="228" w:name="_Toc21025"/>
      <w:bookmarkStart w:id="229" w:name="_Toc10614"/>
      <w:bookmarkStart w:id="230" w:name="_Toc22685"/>
      <w:bookmarkStart w:id="231" w:name="_Toc31715"/>
      <w:bookmarkStart w:id="232" w:name="_Toc25906"/>
      <w:bookmarkStart w:id="233" w:name="_Toc7689"/>
      <w:bookmarkStart w:id="234" w:name="_Toc31515"/>
      <w:bookmarkStart w:id="235" w:name="_Toc20953"/>
      <w:bookmarkStart w:id="236" w:name="_Toc10059"/>
      <w:bookmarkStart w:id="237" w:name="_Toc3301"/>
      <w:bookmarkStart w:id="238" w:name="_Toc762"/>
      <w:bookmarkStart w:id="239" w:name="_Toc1446"/>
      <w:bookmarkStart w:id="240" w:name="_Toc3354"/>
    </w:p>
    <w:p w14:paraId="742B629F">
      <w:pPr>
        <w:numPr>
          <w:ilvl w:val="255"/>
          <w:numId w:val="0"/>
        </w:numPr>
        <w:snapToGrid w:val="0"/>
        <w:spacing w:line="588" w:lineRule="exact"/>
        <w:jc w:val="center"/>
        <w:outlineLvl w:val="0"/>
        <w:rPr>
          <w:rFonts w:ascii="Times New Roman" w:hAnsi="Times New Roman"/>
          <w:highlight w:val="none"/>
        </w:rPr>
      </w:pPr>
      <w:bookmarkStart w:id="241" w:name="_Toc17065"/>
      <w:bookmarkStart w:id="242" w:name="_Toc3083"/>
      <w:bookmarkStart w:id="243" w:name="_Toc31892"/>
      <w:bookmarkStart w:id="244" w:name="_Toc18431"/>
      <w:bookmarkStart w:id="245" w:name="_Toc10782"/>
      <w:bookmarkStart w:id="246" w:name="_Toc25506"/>
      <w:bookmarkStart w:id="247" w:name="_Toc28219"/>
      <w:bookmarkStart w:id="248" w:name="_Toc15421"/>
      <w:bookmarkStart w:id="249" w:name="_Toc23625"/>
      <w:r>
        <w:rPr>
          <w:rFonts w:hint="eastAsia" w:ascii="Times New Roman" w:hAnsi="Times New Roman" w:eastAsia="黑体" w:cs="黑体"/>
          <w:sz w:val="32"/>
          <w:szCs w:val="32"/>
          <w:highlight w:val="none"/>
        </w:rPr>
        <w:t>第</w:t>
      </w:r>
      <w:r>
        <w:rPr>
          <w:rFonts w:hint="eastAsia" w:ascii="Times New Roman" w:hAnsi="Times New Roman" w:eastAsia="黑体" w:cs="黑体"/>
          <w:sz w:val="32"/>
          <w:szCs w:val="32"/>
          <w:highlight w:val="none"/>
          <w:lang w:val="en-US" w:eastAsia="zh-CN"/>
        </w:rPr>
        <w:t>五</w:t>
      </w:r>
      <w:r>
        <w:rPr>
          <w:rFonts w:hint="eastAsia" w:ascii="Times New Roman" w:hAnsi="Times New Roman" w:eastAsia="黑体" w:cs="黑体"/>
          <w:sz w:val="32"/>
          <w:szCs w:val="32"/>
          <w:highlight w:val="none"/>
        </w:rPr>
        <w:t xml:space="preserve">章 </w:t>
      </w:r>
      <w:bookmarkEnd w:id="225"/>
      <w:r>
        <w:rPr>
          <w:rFonts w:hint="eastAsia" w:ascii="Times New Roman" w:hAnsi="Times New Roman" w:eastAsia="黑体" w:cs="黑体"/>
          <w:sz w:val="32"/>
          <w:szCs w:val="32"/>
          <w:highlight w:val="none"/>
        </w:rPr>
        <w:t>监督管理</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59F00120">
      <w:pPr>
        <w:pStyle w:val="18"/>
        <w:numPr>
          <w:ilvl w:val="0"/>
          <w:numId w:val="1"/>
        </w:numPr>
        <w:snapToGrid/>
        <w:spacing w:line="588" w:lineRule="exact"/>
        <w:ind w:left="0" w:firstLine="640" w:firstLineChars="200"/>
        <w:jc w:val="left"/>
        <w:rPr>
          <w:rFonts w:ascii="Times New Roman" w:hAnsi="Times New Roman" w:eastAsia="仿宋_GB2312" w:cs="Times New Roman"/>
          <w:bCs/>
          <w:sz w:val="32"/>
          <w:szCs w:val="32"/>
          <w:highlight w:val="none"/>
        </w:rPr>
      </w:pPr>
      <w:r>
        <w:rPr>
          <w:rFonts w:hint="eastAsia" w:ascii="Times New Roman" w:hAnsi="Times New Roman" w:eastAsia="仿宋_GB2312" w:cs="Times New Roman"/>
          <w:bCs/>
          <w:color w:val="000000"/>
          <w:kern w:val="2"/>
          <w:sz w:val="32"/>
          <w:szCs w:val="32"/>
          <w:highlight w:val="none"/>
          <w:shd w:val="clear" w:color="auto" w:fill="FFFFFF"/>
          <w:lang w:val="en-US" w:eastAsia="zh-CN" w:bidi="ar-SA"/>
        </w:rPr>
        <w:t>市场经营主体对</w:t>
      </w:r>
      <w:r>
        <w:rPr>
          <w:rFonts w:hint="eastAsia" w:ascii="Times New Roman" w:hAnsi="Times New Roman" w:eastAsia="仿宋_GB2312" w:cs="Times New Roman"/>
          <w:bCs/>
          <w:color w:val="000000"/>
          <w:kern w:val="2"/>
          <w:sz w:val="32"/>
          <w:szCs w:val="32"/>
          <w:highlight w:val="none"/>
          <w:shd w:val="clear" w:fill="FFFFFF"/>
          <w:lang w:val="en-US" w:eastAsia="zh-CN" w:bidi="ar-SA"/>
        </w:rPr>
        <w:t>计量结算</w:t>
      </w:r>
      <w:r>
        <w:rPr>
          <w:rFonts w:hint="eastAsia" w:ascii="Times New Roman" w:hAnsi="Times New Roman" w:eastAsia="仿宋_GB2312" w:cs="Times New Roman"/>
          <w:bCs/>
          <w:color w:val="000000"/>
          <w:kern w:val="2"/>
          <w:sz w:val="32"/>
          <w:szCs w:val="32"/>
          <w:highlight w:val="none"/>
          <w:shd w:val="clear" w:color="auto" w:fill="FFFFFF"/>
          <w:lang w:val="en-US" w:eastAsia="zh-CN" w:bidi="ar-SA"/>
        </w:rPr>
        <w:t>存在争议时，可向电力交易机构提出申诉意见，电力交易机构在规定期限内完成核实并予以答复。市场经营主体认为仍有争议的，通过市场管理委员会调解；协调不成的可通过仲裁、司法等途径解决争议。</w:t>
      </w:r>
    </w:p>
    <w:p w14:paraId="64678E17">
      <w:pPr>
        <w:pStyle w:val="18"/>
        <w:numPr>
          <w:ilvl w:val="0"/>
          <w:numId w:val="1"/>
        </w:numPr>
        <w:snapToGrid w:val="0"/>
        <w:spacing w:line="588" w:lineRule="exact"/>
        <w:ind w:firstLine="640" w:firstLineChars="200"/>
        <w:jc w:val="both"/>
        <w:rPr>
          <w:rFonts w:hint="eastAsia" w:ascii="Times New Roman" w:hAnsi="Times New Roman" w:eastAsia="仿宋_GB2312" w:cs="Times New Roman"/>
          <w:bCs/>
          <w:sz w:val="32"/>
          <w:szCs w:val="32"/>
          <w:highlight w:val="none"/>
        </w:rPr>
      </w:pPr>
      <w:r>
        <w:rPr>
          <w:rFonts w:hint="eastAsia" w:ascii="Times New Roman" w:hAnsi="Times New Roman" w:eastAsia="仿宋_GB2312" w:cs="Times New Roman"/>
          <w:bCs/>
          <w:i w:val="0"/>
          <w:iCs w:val="0"/>
          <w:caps w:val="0"/>
          <w:color w:val="000000"/>
          <w:spacing w:val="0"/>
          <w:sz w:val="32"/>
          <w:szCs w:val="32"/>
          <w:highlight w:val="none"/>
          <w:shd w:val="clear" w:fill="FFFFFF"/>
        </w:rPr>
        <w:t>对于</w:t>
      </w:r>
      <w:r>
        <w:rPr>
          <w:rFonts w:hint="eastAsia" w:ascii="Times New Roman" w:hAnsi="Times New Roman" w:eastAsia="仿宋_GB2312" w:cs="Times New Roman"/>
          <w:bCs/>
          <w:i w:val="0"/>
          <w:iCs w:val="0"/>
          <w:caps w:val="0"/>
          <w:color w:val="000000"/>
          <w:spacing w:val="0"/>
          <w:sz w:val="32"/>
          <w:szCs w:val="32"/>
          <w:highlight w:val="none"/>
          <w:shd w:val="clear" w:fill="FFFFFF"/>
          <w:lang w:val="en-US" w:eastAsia="zh-CN"/>
        </w:rPr>
        <w:t>电网企业、市场运营机构、市场经营主体</w:t>
      </w:r>
      <w:r>
        <w:rPr>
          <w:rFonts w:hint="eastAsia" w:ascii="Times New Roman" w:hAnsi="Times New Roman" w:eastAsia="仿宋_GB2312" w:cs="Times New Roman"/>
          <w:bCs/>
          <w:i w:val="0"/>
          <w:iCs w:val="0"/>
          <w:caps w:val="0"/>
          <w:color w:val="000000"/>
          <w:spacing w:val="0"/>
          <w:sz w:val="32"/>
          <w:szCs w:val="32"/>
          <w:highlight w:val="none"/>
          <w:shd w:val="clear" w:fill="FFFFFF"/>
        </w:rPr>
        <w:t>存在未按规定</w:t>
      </w:r>
      <w:r>
        <w:rPr>
          <w:rFonts w:hint="eastAsia" w:ascii="Times New Roman" w:hAnsi="Times New Roman" w:eastAsia="仿宋_GB2312" w:cs="Times New Roman"/>
          <w:bCs/>
          <w:i w:val="0"/>
          <w:iCs w:val="0"/>
          <w:caps w:val="0"/>
          <w:color w:val="000000"/>
          <w:spacing w:val="0"/>
          <w:sz w:val="32"/>
          <w:szCs w:val="32"/>
          <w:highlight w:val="none"/>
          <w:shd w:val="clear" w:fill="FFFFFF"/>
          <w:lang w:val="en-US" w:eastAsia="zh-CN"/>
        </w:rPr>
        <w:t>开展电力市场计量结算</w:t>
      </w:r>
      <w:r>
        <w:rPr>
          <w:rFonts w:hint="eastAsia" w:ascii="Times New Roman" w:hAnsi="Times New Roman" w:eastAsia="仿宋_GB2312" w:cs="Times New Roman"/>
          <w:bCs/>
          <w:i w:val="0"/>
          <w:iCs w:val="0"/>
          <w:caps w:val="0"/>
          <w:color w:val="000000"/>
          <w:spacing w:val="0"/>
          <w:sz w:val="32"/>
          <w:szCs w:val="32"/>
          <w:highlight w:val="none"/>
          <w:shd w:val="clear" w:fill="FFFFFF"/>
        </w:rPr>
        <w:t>等情形的，国家能源局及其派出机构依照《电力监管条例》第三十一条、</w:t>
      </w:r>
      <w:r>
        <w:rPr>
          <w:rFonts w:hint="eastAsia" w:ascii="Times New Roman" w:hAnsi="Times New Roman" w:eastAsia="仿宋_GB2312" w:cs="Times New Roman"/>
          <w:bCs/>
          <w:i w:val="0"/>
          <w:iCs w:val="0"/>
          <w:caps w:val="0"/>
          <w:color w:val="000000"/>
          <w:spacing w:val="0"/>
          <w:sz w:val="32"/>
          <w:szCs w:val="32"/>
          <w:highlight w:val="none"/>
          <w:shd w:val="clear" w:fill="FFFFFF"/>
          <w:lang w:val="en-US" w:eastAsia="zh-CN"/>
        </w:rPr>
        <w:t>第三十三条以及</w:t>
      </w:r>
      <w:r>
        <w:rPr>
          <w:rFonts w:hint="eastAsia" w:ascii="Times New Roman" w:hAnsi="Times New Roman" w:eastAsia="仿宋_GB2312" w:cs="Times New Roman"/>
          <w:bCs/>
          <w:i w:val="0"/>
          <w:iCs w:val="0"/>
          <w:caps w:val="0"/>
          <w:color w:val="000000"/>
          <w:spacing w:val="0"/>
          <w:sz w:val="32"/>
          <w:szCs w:val="32"/>
          <w:highlight w:val="none"/>
          <w:shd w:val="clear" w:fill="FFFFFF"/>
        </w:rPr>
        <w:t>《电力市场监管办法》第三十</w:t>
      </w:r>
      <w:r>
        <w:rPr>
          <w:rFonts w:hint="eastAsia" w:ascii="Times New Roman" w:hAnsi="Times New Roman" w:eastAsia="仿宋_GB2312" w:cs="Times New Roman"/>
          <w:bCs/>
          <w:i w:val="0"/>
          <w:iCs w:val="0"/>
          <w:caps w:val="0"/>
          <w:color w:val="000000"/>
          <w:spacing w:val="0"/>
          <w:sz w:val="32"/>
          <w:szCs w:val="32"/>
          <w:highlight w:val="none"/>
          <w:shd w:val="clear" w:fill="FFFFFF"/>
          <w:lang w:val="en-US" w:eastAsia="zh-CN"/>
        </w:rPr>
        <w:t>二</w:t>
      </w:r>
      <w:r>
        <w:rPr>
          <w:rFonts w:hint="eastAsia" w:ascii="Times New Roman" w:hAnsi="Times New Roman" w:eastAsia="仿宋_GB2312" w:cs="Times New Roman"/>
          <w:bCs/>
          <w:i w:val="0"/>
          <w:iCs w:val="0"/>
          <w:caps w:val="0"/>
          <w:color w:val="000000"/>
          <w:spacing w:val="0"/>
          <w:sz w:val="32"/>
          <w:szCs w:val="32"/>
          <w:highlight w:val="none"/>
          <w:shd w:val="clear" w:fill="FFFFFF"/>
        </w:rPr>
        <w:t>条有关规定处理</w:t>
      </w:r>
      <w:r>
        <w:rPr>
          <w:rFonts w:hint="eastAsia" w:ascii="Times New Roman" w:hAnsi="Times New Roman" w:eastAsia="仿宋_GB2312" w:cs="Times New Roman"/>
          <w:bCs/>
          <w:i w:val="0"/>
          <w:iCs w:val="0"/>
          <w:caps w:val="0"/>
          <w:color w:val="000000"/>
          <w:spacing w:val="0"/>
          <w:sz w:val="32"/>
          <w:szCs w:val="32"/>
          <w:highlight w:val="none"/>
          <w:shd w:val="clear" w:fill="FFFFFF"/>
          <w:lang w:eastAsia="zh-CN"/>
        </w:rPr>
        <w:t>，</w:t>
      </w:r>
      <w:r>
        <w:rPr>
          <w:rFonts w:hint="eastAsia" w:ascii="Times New Roman" w:hAnsi="Times New Roman" w:eastAsia="仿宋_GB2312" w:cs="Times New Roman"/>
          <w:bCs/>
          <w:i w:val="0"/>
          <w:iCs w:val="0"/>
          <w:caps w:val="0"/>
          <w:color w:val="000000"/>
          <w:spacing w:val="0"/>
          <w:sz w:val="32"/>
          <w:szCs w:val="32"/>
          <w:highlight w:val="none"/>
          <w:shd w:val="clear" w:fill="FFFFFF"/>
          <w:lang w:val="en-US" w:eastAsia="zh-CN"/>
        </w:rPr>
        <w:t>国务院及省级价格主管部门可按照结算价格相关政策规定处理</w:t>
      </w:r>
      <w:r>
        <w:rPr>
          <w:rFonts w:hint="eastAsia" w:ascii="Times New Roman" w:hAnsi="Times New Roman" w:eastAsia="仿宋_GB2312" w:cs="Times New Roman"/>
          <w:bCs/>
          <w:i w:val="0"/>
          <w:iCs w:val="0"/>
          <w:caps w:val="0"/>
          <w:color w:val="000000"/>
          <w:spacing w:val="0"/>
          <w:sz w:val="32"/>
          <w:szCs w:val="32"/>
          <w:highlight w:val="none"/>
          <w:shd w:val="clear" w:fill="FFFFFF"/>
        </w:rPr>
        <w:t>。</w:t>
      </w:r>
    </w:p>
    <w:p w14:paraId="157B55E3">
      <w:pPr>
        <w:numPr>
          <w:ilvl w:val="255"/>
          <w:numId w:val="0"/>
        </w:numPr>
        <w:snapToGrid w:val="0"/>
        <w:spacing w:line="588" w:lineRule="exact"/>
        <w:jc w:val="center"/>
        <w:outlineLvl w:val="0"/>
        <w:rPr>
          <w:rFonts w:hint="eastAsia" w:ascii="Times New Roman" w:hAnsi="Times New Roman" w:eastAsia="黑体" w:cs="黑体"/>
          <w:sz w:val="32"/>
          <w:szCs w:val="32"/>
          <w:highlight w:val="none"/>
        </w:rPr>
      </w:pPr>
      <w:bookmarkStart w:id="250" w:name="_Toc4598"/>
      <w:bookmarkStart w:id="251" w:name="_Toc1873"/>
      <w:bookmarkStart w:id="252" w:name="_Toc14660"/>
      <w:bookmarkStart w:id="253" w:name="_Toc4235"/>
      <w:bookmarkStart w:id="254" w:name="_Toc20165"/>
      <w:bookmarkStart w:id="255" w:name="_Toc24588"/>
      <w:bookmarkStart w:id="256" w:name="_Toc10742"/>
      <w:bookmarkStart w:id="257" w:name="_Toc30995"/>
      <w:bookmarkStart w:id="258" w:name="_Toc19011"/>
      <w:bookmarkStart w:id="259" w:name="_Toc16694"/>
      <w:bookmarkStart w:id="260" w:name="_Toc11489"/>
      <w:bookmarkStart w:id="261" w:name="_Toc27413"/>
      <w:bookmarkStart w:id="262" w:name="_Toc31335"/>
      <w:bookmarkStart w:id="263" w:name="_Toc30574"/>
      <w:bookmarkStart w:id="264" w:name="_Toc28312"/>
      <w:bookmarkStart w:id="265" w:name="_Toc31903"/>
      <w:bookmarkStart w:id="266" w:name="_Toc1773"/>
      <w:bookmarkStart w:id="267" w:name="_Toc19261"/>
      <w:bookmarkStart w:id="268" w:name="_Toc30263"/>
      <w:bookmarkStart w:id="269" w:name="_Toc19443"/>
      <w:bookmarkStart w:id="270" w:name="_Toc2184"/>
      <w:bookmarkStart w:id="271" w:name="_Toc5892"/>
      <w:bookmarkStart w:id="272" w:name="_Toc22512"/>
    </w:p>
    <w:p w14:paraId="49A50BF7">
      <w:pPr>
        <w:numPr>
          <w:ilvl w:val="255"/>
          <w:numId w:val="0"/>
        </w:numPr>
        <w:snapToGrid w:val="0"/>
        <w:spacing w:line="588" w:lineRule="exact"/>
        <w:jc w:val="center"/>
        <w:outlineLvl w:val="0"/>
        <w:rPr>
          <w:rFonts w:ascii="Times New Roman" w:hAnsi="Times New Roman" w:eastAsia="黑体" w:cs="黑体"/>
          <w:sz w:val="32"/>
          <w:szCs w:val="32"/>
          <w:highlight w:val="none"/>
        </w:rPr>
      </w:pPr>
      <w:bookmarkStart w:id="273" w:name="_Toc6375"/>
      <w:bookmarkStart w:id="274" w:name="_Toc7652"/>
      <w:r>
        <w:rPr>
          <w:rFonts w:hint="eastAsia" w:ascii="Times New Roman" w:hAnsi="Times New Roman" w:eastAsia="黑体" w:cs="黑体"/>
          <w:sz w:val="32"/>
          <w:szCs w:val="32"/>
          <w:highlight w:val="none"/>
        </w:rPr>
        <w:t>第</w:t>
      </w:r>
      <w:r>
        <w:rPr>
          <w:rFonts w:hint="eastAsia" w:ascii="Times New Roman" w:hAnsi="Times New Roman" w:eastAsia="黑体" w:cs="黑体"/>
          <w:sz w:val="32"/>
          <w:szCs w:val="32"/>
          <w:highlight w:val="none"/>
          <w:lang w:val="en-US" w:eastAsia="zh-CN"/>
        </w:rPr>
        <w:t>六</w:t>
      </w:r>
      <w:r>
        <w:rPr>
          <w:rFonts w:hint="eastAsia" w:ascii="Times New Roman" w:hAnsi="Times New Roman" w:eastAsia="黑体" w:cs="黑体"/>
          <w:sz w:val="32"/>
          <w:szCs w:val="32"/>
          <w:highlight w:val="none"/>
        </w:rPr>
        <w:t>章 附则</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23A7BEFE">
      <w:pPr>
        <w:pStyle w:val="18"/>
        <w:numPr>
          <w:ilvl w:val="0"/>
          <w:numId w:val="1"/>
        </w:numPr>
        <w:snapToGrid w:val="0"/>
        <w:spacing w:line="588" w:lineRule="exact"/>
        <w:ind w:left="0" w:firstLine="640" w:firstLineChars="200"/>
        <w:jc w:val="both"/>
        <w:rPr>
          <w:rFonts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本规则自202</w:t>
      </w:r>
      <w:r>
        <w:rPr>
          <w:rFonts w:hint="eastAsia" w:ascii="Times New Roman" w:hAnsi="Times New Roman" w:eastAsia="仿宋_GB2312" w:cs="仿宋_GB2312"/>
          <w:sz w:val="32"/>
          <w:szCs w:val="32"/>
          <w:highlight w:val="none"/>
          <w:lang w:val="en-US" w:eastAsia="zh-CN"/>
        </w:rPr>
        <w:t>5</w:t>
      </w:r>
      <w:r>
        <w:rPr>
          <w:rFonts w:hint="eastAsia" w:ascii="Times New Roman" w:hAnsi="Times New Roman" w:eastAsia="仿宋_GB2312" w:cs="仿宋_GB2312"/>
          <w:sz w:val="32"/>
          <w:szCs w:val="32"/>
          <w:highlight w:val="none"/>
        </w:rPr>
        <w:t>年X月X日起施行。</w:t>
      </w:r>
    </w:p>
    <w:p w14:paraId="17AA1E1B">
      <w:pPr>
        <w:pStyle w:val="18"/>
        <w:numPr>
          <w:ilvl w:val="0"/>
          <w:numId w:val="1"/>
        </w:numPr>
        <w:snapToGrid w:val="0"/>
        <w:spacing w:line="588" w:lineRule="exact"/>
        <w:ind w:left="0" w:firstLine="640" w:firstLineChars="200"/>
        <w:jc w:val="both"/>
        <w:rPr>
          <w:rFonts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本规则由</w:t>
      </w:r>
      <w:r>
        <w:rPr>
          <w:rFonts w:hint="eastAsia" w:ascii="Times New Roman" w:hAnsi="Times New Roman" w:eastAsia="仿宋_GB2312" w:cs="仿宋_GB2312"/>
          <w:sz w:val="32"/>
          <w:szCs w:val="32"/>
          <w:highlight w:val="none"/>
          <w:lang w:val="en-US" w:eastAsia="zh-CN"/>
        </w:rPr>
        <w:t>国家发展改革委、</w:t>
      </w:r>
      <w:r>
        <w:rPr>
          <w:rFonts w:hint="eastAsia" w:ascii="Times New Roman" w:hAnsi="Times New Roman" w:eastAsia="仿宋_GB2312" w:cs="仿宋_GB2312"/>
          <w:sz w:val="32"/>
          <w:szCs w:val="32"/>
          <w:highlight w:val="none"/>
        </w:rPr>
        <w:t>国家能源局负责解释。</w:t>
      </w:r>
    </w:p>
    <w:p w14:paraId="2A420589">
      <w:pPr>
        <w:pStyle w:val="18"/>
        <w:numPr>
          <w:ilvl w:val="0"/>
          <w:numId w:val="1"/>
        </w:numPr>
        <w:snapToGrid w:val="0"/>
        <w:spacing w:line="588" w:lineRule="exact"/>
        <w:ind w:left="0" w:firstLine="640" w:firstLineChars="200"/>
        <w:jc w:val="both"/>
        <w:rPr>
          <w:rFonts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本规则有效期五年。</w:t>
      </w:r>
    </w:p>
    <w:p w14:paraId="6E99967D">
      <w:pPr>
        <w:rPr>
          <w:rFonts w:ascii="Times New Roman" w:hAnsi="Times New Roman"/>
        </w:rPr>
      </w:pPr>
    </w:p>
    <w:sectPr>
      <w:footerReference r:id="rId4" w:type="default"/>
      <w:pgSz w:w="11906" w:h="16838"/>
      <w:pgMar w:top="1984" w:right="1616" w:bottom="1814" w:left="1616"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63EEA58-C56F-408B-AB71-9EED0B432F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embedRegular r:id="rId2" w:fontKey="{BDABBDD3-C0CE-473B-94B2-B476EAAE4B65}"/>
  </w:font>
  <w:font w:name="方正小标宋_GBK">
    <w:panose1 w:val="03000509000000000000"/>
    <w:charset w:val="86"/>
    <w:family w:val="script"/>
    <w:pitch w:val="default"/>
    <w:sig w:usb0="00000001" w:usb1="080E0000" w:usb2="00000000" w:usb3="00000000" w:csb0="00040000" w:csb1="00000000"/>
    <w:embedRegular r:id="rId3" w:fontKey="{69FE3526-0834-48F5-A5DB-0A1A5DC166D1}"/>
  </w:font>
  <w:font w:name="方正楷体_GBK">
    <w:panose1 w:val="02000000000000000000"/>
    <w:charset w:val="86"/>
    <w:family w:val="auto"/>
    <w:pitch w:val="default"/>
    <w:sig w:usb0="800002BF" w:usb1="38CF7CFA" w:usb2="00000016" w:usb3="00000000" w:csb0="00040000" w:csb1="00000000"/>
    <w:embedRegular r:id="rId4" w:fontKey="{C01F90CF-E006-4F60-9B6E-12BCA1199797}"/>
  </w:font>
  <w:font w:name="楷体_GB2312">
    <w:panose1 w:val="02010609030101010101"/>
    <w:charset w:val="86"/>
    <w:family w:val="auto"/>
    <w:pitch w:val="default"/>
    <w:sig w:usb0="00000001" w:usb1="080E0000" w:usb2="00000000" w:usb3="00000000" w:csb0="00040000" w:csb1="00000000"/>
    <w:embedRegular r:id="rId5" w:fontKey="{271AA32B-0EB3-4B84-9E1B-97800DDE8EC6}"/>
  </w:font>
  <w:font w:name="仿宋_GB2312">
    <w:panose1 w:val="02010609030101010101"/>
    <w:charset w:val="86"/>
    <w:family w:val="auto"/>
    <w:pitch w:val="default"/>
    <w:sig w:usb0="00000001" w:usb1="080E0000" w:usb2="00000000" w:usb3="00000000" w:csb0="00040000" w:csb1="00000000"/>
    <w:embedRegular r:id="rId6" w:fontKey="{543E9DDD-F964-4A42-8EE6-FF45A99A08FE}"/>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2000000000000000000"/>
    <w:charset w:val="86"/>
    <w:family w:val="auto"/>
    <w:pitch w:val="default"/>
    <w:sig w:usb0="A00002BF" w:usb1="38CF7CFA" w:usb2="00082016" w:usb3="00000000" w:csb0="00040001" w:csb1="00000000"/>
    <w:embedRegular r:id="rId7" w:fontKey="{10B21D50-F028-45DF-9867-EBDA41EFB73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592B7">
    <w:pPr>
      <w:pStyle w:val="8"/>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028DE01">
                          <w:pPr>
                            <w:pStyle w:val="8"/>
                          </w:pP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6028DE01">
                    <w:pPr>
                      <w:pStyle w:val="8"/>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6F360">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-212090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661AC1">
                          <w:pPr>
                            <w:pStyle w:val="8"/>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- 3 -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6.7pt;height:144pt;width:144pt;mso-position-horizontal:center;mso-position-horizontal-relative:margin;mso-wrap-style:none;z-index:251661312;mso-width-relative:page;mso-height-relative:page;" filled="f" stroked="f" coordsize="21600,21600" o:gfxdata="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2+ELZ1gAAAAgBAAAPAAAAAAAAAAEAIAAAACIAAABkcnMvZG93bnJldi54bWxQ&#10;SwECFAAUAAAACACHTuJApPvadjICAABjBAAADgAAAAAAAAABACAAAAAlAQAAZHJzL2Uyb0RvYy54&#10;bWxQSwUGAAAAAAYABgBZAQAAyQUAAAAA&#10;">
              <v:fill on="f" focussize="0,0"/>
              <v:stroke on="f" weight="0.5pt"/>
              <v:imagedata o:title=""/>
              <o:lock v:ext="edit" aspectratio="f"/>
              <v:textbox inset="0mm,0mm,0mm,0mm" style="mso-fit-shape-to-text:t;">
                <w:txbxContent>
                  <w:p w14:paraId="06661AC1">
                    <w:pPr>
                      <w:pStyle w:val="8"/>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- 3 -</w:t>
                    </w:r>
                    <w:r>
                      <w:rPr>
                        <w:rFonts w:ascii="Times New Roman" w:hAnsi="Times New Roman" w:cs="Times New Roman"/>
                        <w:sz w:val="28"/>
                        <w:szCs w:val="28"/>
                      </w:rPr>
                      <w:fldChar w:fldCharType="end"/>
                    </w:r>
                  </w:p>
                </w:txbxContent>
              </v:textbox>
            </v:shape>
          </w:pict>
        </mc:Fallback>
      </mc:AlternateContent>
    </w:r>
    <w:r>
      <mc:AlternateContent>
        <mc:Choice Requires="wps">
          <w:drawing>
            <wp:anchor distT="0" distB="0" distL="0" distR="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3DF4775">
                          <w:pPr>
                            <w:pStyle w:val="8"/>
                          </w:pP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bxmkN88BAACcAwAADgAAAAAAAAABACAAAAAfAQAAZHJz&#10;L2Uyb0RvYy54bWxQSwUGAAAAAAYABgBZAQAAYAUAAAAA&#10;">
              <v:fill on="f" focussize="0,0"/>
              <v:stroke on="f"/>
              <v:imagedata o:title=""/>
              <o:lock v:ext="edit" aspectratio="f"/>
              <v:textbox inset="0mm,0mm,0mm,0mm" style="mso-fit-shape-to-text:t;">
                <w:txbxContent>
                  <w:p w14:paraId="63DF4775">
                    <w:pPr>
                      <w:pStyle w:val="8"/>
                    </w:pP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8184E9"/>
    <w:multiLevelType w:val="singleLevel"/>
    <w:tmpl w:val="BF8184E9"/>
    <w:lvl w:ilvl="0" w:tentative="0">
      <w:start w:val="1"/>
      <w:numFmt w:val="chineseCounting"/>
      <w:suff w:val="nothing"/>
      <w:lvlText w:val="（%1）"/>
      <w:lvlJc w:val="left"/>
      <w:rPr>
        <w:rFonts w:hint="eastAsia"/>
      </w:rPr>
    </w:lvl>
  </w:abstractNum>
  <w:abstractNum w:abstractNumId="1">
    <w:nsid w:val="F2B28BF3"/>
    <w:multiLevelType w:val="singleLevel"/>
    <w:tmpl w:val="F2B28BF3"/>
    <w:lvl w:ilvl="0" w:tentative="0">
      <w:start w:val="1"/>
      <w:numFmt w:val="chineseCounting"/>
      <w:suff w:val="nothing"/>
      <w:lvlText w:val="（%1）"/>
      <w:lvlJc w:val="left"/>
      <w:rPr>
        <w:rFonts w:hint="eastAsia"/>
      </w:rPr>
    </w:lvl>
  </w:abstractNum>
  <w:abstractNum w:abstractNumId="2">
    <w:nsid w:val="00000001"/>
    <w:multiLevelType w:val="multilevel"/>
    <w:tmpl w:val="00000001"/>
    <w:lvl w:ilvl="0" w:tentative="0">
      <w:start w:val="1"/>
      <w:numFmt w:val="chineseCountingThousand"/>
      <w:lvlText w:val="第%1条"/>
      <w:lvlJc w:val="left"/>
      <w:pPr>
        <w:tabs>
          <w:tab w:val="left" w:pos="1429"/>
        </w:tabs>
        <w:ind w:left="85" w:firstLine="624"/>
      </w:pPr>
      <w:rPr>
        <w:rFonts w:hint="eastAsia" w:ascii="仿宋_GB2312" w:eastAsia="仿宋_GB2312"/>
        <w:b/>
        <w:i w:val="0"/>
        <w:color w:val="333333"/>
        <w:sz w:val="32"/>
        <w:szCs w:val="32"/>
        <w:u w:val="none"/>
        <w:lang w:val="en-US"/>
      </w:rPr>
    </w:lvl>
    <w:lvl w:ilvl="1" w:tentative="0">
      <w:start w:val="1"/>
      <w:numFmt w:val="japaneseCounting"/>
      <w:lvlText w:val="（%2）"/>
      <w:lvlJc w:val="left"/>
      <w:pPr>
        <w:tabs>
          <w:tab w:val="left" w:pos="489"/>
        </w:tabs>
        <w:ind w:left="489" w:hanging="720"/>
      </w:pPr>
      <w:rPr>
        <w:rFonts w:hint="eastAsia"/>
      </w:rPr>
    </w:lvl>
    <w:lvl w:ilvl="2" w:tentative="0">
      <w:start w:val="1"/>
      <w:numFmt w:val="lowerRoman"/>
      <w:lvlText w:val="%3."/>
      <w:lvlJc w:val="right"/>
      <w:pPr>
        <w:tabs>
          <w:tab w:val="left" w:pos="609"/>
        </w:tabs>
        <w:ind w:left="609" w:hanging="420"/>
      </w:pPr>
      <w:rPr>
        <w:rFonts w:hint="eastAsia"/>
      </w:rPr>
    </w:lvl>
    <w:lvl w:ilvl="3" w:tentative="0">
      <w:start w:val="1"/>
      <w:numFmt w:val="decimal"/>
      <w:lvlText w:val="%4."/>
      <w:lvlJc w:val="left"/>
      <w:pPr>
        <w:tabs>
          <w:tab w:val="left" w:pos="1029"/>
        </w:tabs>
        <w:ind w:left="1029" w:hanging="420"/>
      </w:pPr>
      <w:rPr>
        <w:rFonts w:hint="eastAsia"/>
      </w:rPr>
    </w:lvl>
    <w:lvl w:ilvl="4" w:tentative="0">
      <w:start w:val="1"/>
      <w:numFmt w:val="lowerLetter"/>
      <w:lvlText w:val="%5)"/>
      <w:lvlJc w:val="left"/>
      <w:pPr>
        <w:tabs>
          <w:tab w:val="left" w:pos="1449"/>
        </w:tabs>
        <w:ind w:left="1449" w:hanging="420"/>
      </w:pPr>
      <w:rPr>
        <w:rFonts w:hint="eastAsia"/>
      </w:rPr>
    </w:lvl>
    <w:lvl w:ilvl="5" w:tentative="0">
      <w:start w:val="1"/>
      <w:numFmt w:val="lowerRoman"/>
      <w:lvlText w:val="%6."/>
      <w:lvlJc w:val="right"/>
      <w:pPr>
        <w:tabs>
          <w:tab w:val="left" w:pos="1869"/>
        </w:tabs>
        <w:ind w:left="1869" w:hanging="420"/>
      </w:pPr>
      <w:rPr>
        <w:rFonts w:hint="eastAsia"/>
      </w:rPr>
    </w:lvl>
    <w:lvl w:ilvl="6" w:tentative="0">
      <w:start w:val="1"/>
      <w:numFmt w:val="decimal"/>
      <w:lvlText w:val="%7."/>
      <w:lvlJc w:val="left"/>
      <w:pPr>
        <w:tabs>
          <w:tab w:val="left" w:pos="2289"/>
        </w:tabs>
        <w:ind w:left="2289" w:hanging="420"/>
      </w:pPr>
      <w:rPr>
        <w:rFonts w:hint="eastAsia"/>
      </w:rPr>
    </w:lvl>
    <w:lvl w:ilvl="7" w:tentative="0">
      <w:start w:val="1"/>
      <w:numFmt w:val="lowerLetter"/>
      <w:lvlText w:val="%8)"/>
      <w:lvlJc w:val="left"/>
      <w:pPr>
        <w:tabs>
          <w:tab w:val="left" w:pos="2709"/>
        </w:tabs>
        <w:ind w:left="2709" w:hanging="420"/>
      </w:pPr>
      <w:rPr>
        <w:rFonts w:hint="eastAsia"/>
      </w:rPr>
    </w:lvl>
    <w:lvl w:ilvl="8" w:tentative="0">
      <w:start w:val="1"/>
      <w:numFmt w:val="lowerRoman"/>
      <w:lvlText w:val="%9."/>
      <w:lvlJc w:val="right"/>
      <w:pPr>
        <w:tabs>
          <w:tab w:val="left" w:pos="3129"/>
        </w:tabs>
        <w:ind w:left="3129" w:hanging="420"/>
      </w:pPr>
      <w:rPr>
        <w:rFonts w:hint="eastAsia"/>
      </w:rPr>
    </w:lvl>
  </w:abstractNum>
  <w:abstractNum w:abstractNumId="3">
    <w:nsid w:val="00000004"/>
    <w:multiLevelType w:val="singleLevel"/>
    <w:tmpl w:val="00000004"/>
    <w:lvl w:ilvl="0" w:tentative="0">
      <w:start w:val="1"/>
      <w:numFmt w:val="chineseCounting"/>
      <w:suff w:val="nothing"/>
      <w:lvlText w:val="（%1）"/>
      <w:lvlJc w:val="left"/>
      <w:rPr>
        <w:rFonts w:hint="eastAsia"/>
      </w:rPr>
    </w:lvl>
  </w:abstractNum>
  <w:abstractNum w:abstractNumId="4">
    <w:nsid w:val="0A1131BC"/>
    <w:multiLevelType w:val="singleLevel"/>
    <w:tmpl w:val="0A1131BC"/>
    <w:lvl w:ilvl="0" w:tentative="0">
      <w:start w:val="1"/>
      <w:numFmt w:val="chineseCounting"/>
      <w:suff w:val="nothing"/>
      <w:lvlText w:val="（%1）"/>
      <w:lvlJc w:val="left"/>
      <w:rPr>
        <w:rFonts w:hint="eastAsia"/>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7E73B3"/>
    <w:rsid w:val="000F0676"/>
    <w:rsid w:val="003F36EC"/>
    <w:rsid w:val="00623DC3"/>
    <w:rsid w:val="006B6B9E"/>
    <w:rsid w:val="00C33421"/>
    <w:rsid w:val="00C77F17"/>
    <w:rsid w:val="00EC7DC6"/>
    <w:rsid w:val="00F046D9"/>
    <w:rsid w:val="00F51BB5"/>
    <w:rsid w:val="00F745C5"/>
    <w:rsid w:val="01200614"/>
    <w:rsid w:val="01290119"/>
    <w:rsid w:val="015B0F2F"/>
    <w:rsid w:val="016327CB"/>
    <w:rsid w:val="01714B3E"/>
    <w:rsid w:val="019052CD"/>
    <w:rsid w:val="01C47FA8"/>
    <w:rsid w:val="01C63FEC"/>
    <w:rsid w:val="01D63AC6"/>
    <w:rsid w:val="020F42D4"/>
    <w:rsid w:val="02126E5E"/>
    <w:rsid w:val="02192318"/>
    <w:rsid w:val="022E5C66"/>
    <w:rsid w:val="026634FC"/>
    <w:rsid w:val="026A7553"/>
    <w:rsid w:val="02833CDE"/>
    <w:rsid w:val="02921110"/>
    <w:rsid w:val="02B129AB"/>
    <w:rsid w:val="03011D08"/>
    <w:rsid w:val="03354AF2"/>
    <w:rsid w:val="03740EFC"/>
    <w:rsid w:val="03754FEE"/>
    <w:rsid w:val="037C4439"/>
    <w:rsid w:val="03851CAD"/>
    <w:rsid w:val="038C29AD"/>
    <w:rsid w:val="03B75233"/>
    <w:rsid w:val="03D14617"/>
    <w:rsid w:val="03D828BB"/>
    <w:rsid w:val="03E94042"/>
    <w:rsid w:val="040B1B5C"/>
    <w:rsid w:val="04240A19"/>
    <w:rsid w:val="045831EC"/>
    <w:rsid w:val="04D60997"/>
    <w:rsid w:val="04E44151"/>
    <w:rsid w:val="04F049ED"/>
    <w:rsid w:val="050C4912"/>
    <w:rsid w:val="053352B2"/>
    <w:rsid w:val="05523426"/>
    <w:rsid w:val="05717AE5"/>
    <w:rsid w:val="05B6615D"/>
    <w:rsid w:val="0635199F"/>
    <w:rsid w:val="06577794"/>
    <w:rsid w:val="06924357"/>
    <w:rsid w:val="06AA5C19"/>
    <w:rsid w:val="06CD3D33"/>
    <w:rsid w:val="06D00268"/>
    <w:rsid w:val="06D41E1B"/>
    <w:rsid w:val="06D925FE"/>
    <w:rsid w:val="06EA6ACF"/>
    <w:rsid w:val="070109F7"/>
    <w:rsid w:val="0738231B"/>
    <w:rsid w:val="073F1BDF"/>
    <w:rsid w:val="074B713D"/>
    <w:rsid w:val="075360BC"/>
    <w:rsid w:val="07585FB0"/>
    <w:rsid w:val="075969AE"/>
    <w:rsid w:val="07716C2A"/>
    <w:rsid w:val="07C5687E"/>
    <w:rsid w:val="07E06ACA"/>
    <w:rsid w:val="07E23761"/>
    <w:rsid w:val="07ED3370"/>
    <w:rsid w:val="07FFBBBB"/>
    <w:rsid w:val="081868C5"/>
    <w:rsid w:val="084E08BE"/>
    <w:rsid w:val="08957D98"/>
    <w:rsid w:val="08B8593C"/>
    <w:rsid w:val="08C66974"/>
    <w:rsid w:val="08F442B2"/>
    <w:rsid w:val="08FB347F"/>
    <w:rsid w:val="09370FF7"/>
    <w:rsid w:val="096A4BE0"/>
    <w:rsid w:val="09B45851"/>
    <w:rsid w:val="09BB5DEA"/>
    <w:rsid w:val="09C644B0"/>
    <w:rsid w:val="09D52958"/>
    <w:rsid w:val="09D93F1A"/>
    <w:rsid w:val="09D94246"/>
    <w:rsid w:val="0A264B7B"/>
    <w:rsid w:val="0A2E6DC2"/>
    <w:rsid w:val="0A4408E0"/>
    <w:rsid w:val="0A5545FA"/>
    <w:rsid w:val="0A852347"/>
    <w:rsid w:val="0AE5345A"/>
    <w:rsid w:val="0B050359"/>
    <w:rsid w:val="0B5825D7"/>
    <w:rsid w:val="0B7A410F"/>
    <w:rsid w:val="0B813CFF"/>
    <w:rsid w:val="0BA23196"/>
    <w:rsid w:val="0BA64ED7"/>
    <w:rsid w:val="0BAA26D6"/>
    <w:rsid w:val="0BB17802"/>
    <w:rsid w:val="0BDB0B5E"/>
    <w:rsid w:val="0BE92EBB"/>
    <w:rsid w:val="0BF53ED3"/>
    <w:rsid w:val="0BFC60CA"/>
    <w:rsid w:val="0C0035C5"/>
    <w:rsid w:val="0C04251E"/>
    <w:rsid w:val="0C800B36"/>
    <w:rsid w:val="0C8327A5"/>
    <w:rsid w:val="0C9920E9"/>
    <w:rsid w:val="0C9D2318"/>
    <w:rsid w:val="0CA260A9"/>
    <w:rsid w:val="0CA86874"/>
    <w:rsid w:val="0CC86D83"/>
    <w:rsid w:val="0CC97B37"/>
    <w:rsid w:val="0CD66140"/>
    <w:rsid w:val="0D210ABD"/>
    <w:rsid w:val="0D71150E"/>
    <w:rsid w:val="0D7F29F8"/>
    <w:rsid w:val="0DBC535C"/>
    <w:rsid w:val="0DC458A9"/>
    <w:rsid w:val="0DC66303"/>
    <w:rsid w:val="0DCF3F72"/>
    <w:rsid w:val="0DE80199"/>
    <w:rsid w:val="0DE9602E"/>
    <w:rsid w:val="0DEF0916"/>
    <w:rsid w:val="0DFA12B1"/>
    <w:rsid w:val="0DFF011B"/>
    <w:rsid w:val="0E207F41"/>
    <w:rsid w:val="0E520BA9"/>
    <w:rsid w:val="0E566D4F"/>
    <w:rsid w:val="0E5E4D6E"/>
    <w:rsid w:val="0E676E52"/>
    <w:rsid w:val="0E882852"/>
    <w:rsid w:val="0E945E81"/>
    <w:rsid w:val="0EA22CDF"/>
    <w:rsid w:val="0EAB2227"/>
    <w:rsid w:val="0F0C5BB0"/>
    <w:rsid w:val="0F455970"/>
    <w:rsid w:val="0F6B1E94"/>
    <w:rsid w:val="0F775B39"/>
    <w:rsid w:val="0FDC6054"/>
    <w:rsid w:val="10194476"/>
    <w:rsid w:val="102175B7"/>
    <w:rsid w:val="102C6842"/>
    <w:rsid w:val="102F6C8D"/>
    <w:rsid w:val="10627170"/>
    <w:rsid w:val="106F2D15"/>
    <w:rsid w:val="109944CA"/>
    <w:rsid w:val="109D20DC"/>
    <w:rsid w:val="10BE74C4"/>
    <w:rsid w:val="10DC2AA8"/>
    <w:rsid w:val="11153A48"/>
    <w:rsid w:val="113B7AB2"/>
    <w:rsid w:val="11597CDF"/>
    <w:rsid w:val="1164185D"/>
    <w:rsid w:val="116600E7"/>
    <w:rsid w:val="116E147F"/>
    <w:rsid w:val="11B34712"/>
    <w:rsid w:val="11EF1AF0"/>
    <w:rsid w:val="11FE22FC"/>
    <w:rsid w:val="12082F9C"/>
    <w:rsid w:val="123D0E3D"/>
    <w:rsid w:val="12777E1E"/>
    <w:rsid w:val="12916A92"/>
    <w:rsid w:val="12C1595B"/>
    <w:rsid w:val="12E966B0"/>
    <w:rsid w:val="12EA775D"/>
    <w:rsid w:val="13005477"/>
    <w:rsid w:val="13066C50"/>
    <w:rsid w:val="1340422C"/>
    <w:rsid w:val="134F6BB3"/>
    <w:rsid w:val="137C756E"/>
    <w:rsid w:val="13B82B31"/>
    <w:rsid w:val="13D05001"/>
    <w:rsid w:val="14304493"/>
    <w:rsid w:val="1432039C"/>
    <w:rsid w:val="14325F67"/>
    <w:rsid w:val="14412D52"/>
    <w:rsid w:val="14421899"/>
    <w:rsid w:val="145F5651"/>
    <w:rsid w:val="14831C63"/>
    <w:rsid w:val="14860D95"/>
    <w:rsid w:val="14926887"/>
    <w:rsid w:val="14CC77F4"/>
    <w:rsid w:val="14DF7280"/>
    <w:rsid w:val="14EB6375"/>
    <w:rsid w:val="14EE74AC"/>
    <w:rsid w:val="15030B3C"/>
    <w:rsid w:val="15082C3B"/>
    <w:rsid w:val="1532387D"/>
    <w:rsid w:val="1597327A"/>
    <w:rsid w:val="15C10F1B"/>
    <w:rsid w:val="15C858C2"/>
    <w:rsid w:val="15E117F3"/>
    <w:rsid w:val="15EA6FCD"/>
    <w:rsid w:val="15F010AA"/>
    <w:rsid w:val="16230FEF"/>
    <w:rsid w:val="163254C8"/>
    <w:rsid w:val="163B21F0"/>
    <w:rsid w:val="1653768F"/>
    <w:rsid w:val="16721496"/>
    <w:rsid w:val="16A1605D"/>
    <w:rsid w:val="16D54918"/>
    <w:rsid w:val="16DF68F6"/>
    <w:rsid w:val="17017AD0"/>
    <w:rsid w:val="17431896"/>
    <w:rsid w:val="174C6F50"/>
    <w:rsid w:val="175159C0"/>
    <w:rsid w:val="177E680A"/>
    <w:rsid w:val="17AC6E77"/>
    <w:rsid w:val="17B34C1B"/>
    <w:rsid w:val="184B2DA9"/>
    <w:rsid w:val="185E3D22"/>
    <w:rsid w:val="186C3076"/>
    <w:rsid w:val="18752F32"/>
    <w:rsid w:val="187F6062"/>
    <w:rsid w:val="18B61D36"/>
    <w:rsid w:val="18C53A97"/>
    <w:rsid w:val="18F676F2"/>
    <w:rsid w:val="19140209"/>
    <w:rsid w:val="191904BA"/>
    <w:rsid w:val="192645B6"/>
    <w:rsid w:val="19491959"/>
    <w:rsid w:val="19610690"/>
    <w:rsid w:val="196B095A"/>
    <w:rsid w:val="19786E7B"/>
    <w:rsid w:val="197957F8"/>
    <w:rsid w:val="19AD05A3"/>
    <w:rsid w:val="19BD5F72"/>
    <w:rsid w:val="19BE5D4F"/>
    <w:rsid w:val="19C722A5"/>
    <w:rsid w:val="19DD0EA9"/>
    <w:rsid w:val="1A066BB7"/>
    <w:rsid w:val="1A0B26D3"/>
    <w:rsid w:val="1A190DAA"/>
    <w:rsid w:val="1A1D01A7"/>
    <w:rsid w:val="1A7052B3"/>
    <w:rsid w:val="1A8B27EB"/>
    <w:rsid w:val="1ACB6222"/>
    <w:rsid w:val="1ACE5105"/>
    <w:rsid w:val="1AE604B3"/>
    <w:rsid w:val="1AF713F0"/>
    <w:rsid w:val="1AF82B00"/>
    <w:rsid w:val="1B0733D9"/>
    <w:rsid w:val="1B183013"/>
    <w:rsid w:val="1B353DE9"/>
    <w:rsid w:val="1B4F28B1"/>
    <w:rsid w:val="1B8C6D01"/>
    <w:rsid w:val="1BE04C59"/>
    <w:rsid w:val="1C09264A"/>
    <w:rsid w:val="1C1D5340"/>
    <w:rsid w:val="1C222C4B"/>
    <w:rsid w:val="1C686624"/>
    <w:rsid w:val="1C8D0A7D"/>
    <w:rsid w:val="1CAA4A3C"/>
    <w:rsid w:val="1CB855EA"/>
    <w:rsid w:val="1D3854EB"/>
    <w:rsid w:val="1D4E4F2F"/>
    <w:rsid w:val="1DC4778E"/>
    <w:rsid w:val="1DCE4CCF"/>
    <w:rsid w:val="1DFB27B0"/>
    <w:rsid w:val="1DFC2C8F"/>
    <w:rsid w:val="1DFC54BF"/>
    <w:rsid w:val="1E256F3C"/>
    <w:rsid w:val="1E31196F"/>
    <w:rsid w:val="1E563A07"/>
    <w:rsid w:val="1E5D214B"/>
    <w:rsid w:val="1E665574"/>
    <w:rsid w:val="1E7B3168"/>
    <w:rsid w:val="1EA54033"/>
    <w:rsid w:val="1EAA42D0"/>
    <w:rsid w:val="1F350B15"/>
    <w:rsid w:val="1F38511E"/>
    <w:rsid w:val="1F993FC3"/>
    <w:rsid w:val="1FA34078"/>
    <w:rsid w:val="1FDF6446"/>
    <w:rsid w:val="200C47ED"/>
    <w:rsid w:val="201F64CF"/>
    <w:rsid w:val="202B7252"/>
    <w:rsid w:val="20CE0F9E"/>
    <w:rsid w:val="20D479C0"/>
    <w:rsid w:val="20E84EC2"/>
    <w:rsid w:val="20F14C84"/>
    <w:rsid w:val="20F76C5B"/>
    <w:rsid w:val="21190520"/>
    <w:rsid w:val="212C26FB"/>
    <w:rsid w:val="213B516E"/>
    <w:rsid w:val="21476AE1"/>
    <w:rsid w:val="21697381"/>
    <w:rsid w:val="21D2577A"/>
    <w:rsid w:val="2227397C"/>
    <w:rsid w:val="224C11FE"/>
    <w:rsid w:val="22714D00"/>
    <w:rsid w:val="22782C56"/>
    <w:rsid w:val="22795537"/>
    <w:rsid w:val="229D0049"/>
    <w:rsid w:val="22BE1D06"/>
    <w:rsid w:val="22D80E33"/>
    <w:rsid w:val="23026F0E"/>
    <w:rsid w:val="232F2EDE"/>
    <w:rsid w:val="23534A9E"/>
    <w:rsid w:val="235B0570"/>
    <w:rsid w:val="236754B2"/>
    <w:rsid w:val="2375708E"/>
    <w:rsid w:val="2392002A"/>
    <w:rsid w:val="23CD55C4"/>
    <w:rsid w:val="2411083F"/>
    <w:rsid w:val="241506B9"/>
    <w:rsid w:val="24481CA3"/>
    <w:rsid w:val="247F08E8"/>
    <w:rsid w:val="2480198C"/>
    <w:rsid w:val="24A46D3C"/>
    <w:rsid w:val="24B169B1"/>
    <w:rsid w:val="24EB4A75"/>
    <w:rsid w:val="250D4572"/>
    <w:rsid w:val="252E372F"/>
    <w:rsid w:val="25303F82"/>
    <w:rsid w:val="255C35A4"/>
    <w:rsid w:val="25823402"/>
    <w:rsid w:val="25901A43"/>
    <w:rsid w:val="25CE4AC4"/>
    <w:rsid w:val="25D94A0A"/>
    <w:rsid w:val="25FC644E"/>
    <w:rsid w:val="263F1DED"/>
    <w:rsid w:val="266C7E52"/>
    <w:rsid w:val="26C01F14"/>
    <w:rsid w:val="26C0744F"/>
    <w:rsid w:val="26E2391D"/>
    <w:rsid w:val="26E31BF6"/>
    <w:rsid w:val="2702157B"/>
    <w:rsid w:val="27544E0F"/>
    <w:rsid w:val="2759296F"/>
    <w:rsid w:val="27994C91"/>
    <w:rsid w:val="27B73A88"/>
    <w:rsid w:val="27BF4CBB"/>
    <w:rsid w:val="27C44D4A"/>
    <w:rsid w:val="27FD6911"/>
    <w:rsid w:val="28230015"/>
    <w:rsid w:val="282D22DB"/>
    <w:rsid w:val="28450CFF"/>
    <w:rsid w:val="286071D0"/>
    <w:rsid w:val="28724BC5"/>
    <w:rsid w:val="28AB7FDA"/>
    <w:rsid w:val="28B24FBD"/>
    <w:rsid w:val="28D81699"/>
    <w:rsid w:val="28D86EEB"/>
    <w:rsid w:val="29003D29"/>
    <w:rsid w:val="293521FB"/>
    <w:rsid w:val="29582EC1"/>
    <w:rsid w:val="295D3733"/>
    <w:rsid w:val="297E73B3"/>
    <w:rsid w:val="29BD61C8"/>
    <w:rsid w:val="29ED4E99"/>
    <w:rsid w:val="2A2C79B7"/>
    <w:rsid w:val="2A88774C"/>
    <w:rsid w:val="2AD12889"/>
    <w:rsid w:val="2B682276"/>
    <w:rsid w:val="2B8A1707"/>
    <w:rsid w:val="2B8E7A7E"/>
    <w:rsid w:val="2BC138F5"/>
    <w:rsid w:val="2BD224DF"/>
    <w:rsid w:val="2BDA0D08"/>
    <w:rsid w:val="2C020DA6"/>
    <w:rsid w:val="2C075C76"/>
    <w:rsid w:val="2C5712E5"/>
    <w:rsid w:val="2C6A6A7F"/>
    <w:rsid w:val="2C9449DA"/>
    <w:rsid w:val="2CB452AE"/>
    <w:rsid w:val="2CC47125"/>
    <w:rsid w:val="2CDA3398"/>
    <w:rsid w:val="2CE2344D"/>
    <w:rsid w:val="2CEA1ED2"/>
    <w:rsid w:val="2D567A16"/>
    <w:rsid w:val="2D600C17"/>
    <w:rsid w:val="2DC91A9C"/>
    <w:rsid w:val="2DD148B2"/>
    <w:rsid w:val="2DEE246A"/>
    <w:rsid w:val="2E5C6935"/>
    <w:rsid w:val="2E6F365C"/>
    <w:rsid w:val="2E8D6940"/>
    <w:rsid w:val="2E944F1E"/>
    <w:rsid w:val="2E9A2AD6"/>
    <w:rsid w:val="2EA30F52"/>
    <w:rsid w:val="2F2832FD"/>
    <w:rsid w:val="2F4DF20E"/>
    <w:rsid w:val="2F856564"/>
    <w:rsid w:val="2F9459EB"/>
    <w:rsid w:val="2FC52696"/>
    <w:rsid w:val="2FCC6198"/>
    <w:rsid w:val="2FDE2140"/>
    <w:rsid w:val="2FE5297E"/>
    <w:rsid w:val="303A092D"/>
    <w:rsid w:val="30403AA7"/>
    <w:rsid w:val="304F4690"/>
    <w:rsid w:val="305C2728"/>
    <w:rsid w:val="306D7318"/>
    <w:rsid w:val="308B6E02"/>
    <w:rsid w:val="3099556D"/>
    <w:rsid w:val="30E56E82"/>
    <w:rsid w:val="311A4D00"/>
    <w:rsid w:val="312C2425"/>
    <w:rsid w:val="318D0B76"/>
    <w:rsid w:val="31C824B6"/>
    <w:rsid w:val="31D2052B"/>
    <w:rsid w:val="321E449C"/>
    <w:rsid w:val="3252648D"/>
    <w:rsid w:val="328F02CB"/>
    <w:rsid w:val="32980984"/>
    <w:rsid w:val="32CE3E31"/>
    <w:rsid w:val="33341904"/>
    <w:rsid w:val="334C6121"/>
    <w:rsid w:val="334F4278"/>
    <w:rsid w:val="33680AD0"/>
    <w:rsid w:val="3368185C"/>
    <w:rsid w:val="337B4957"/>
    <w:rsid w:val="33882779"/>
    <w:rsid w:val="33A30A2F"/>
    <w:rsid w:val="33BD2FFD"/>
    <w:rsid w:val="33D609E8"/>
    <w:rsid w:val="33DE13F6"/>
    <w:rsid w:val="33F72F49"/>
    <w:rsid w:val="34851ABC"/>
    <w:rsid w:val="34C638FF"/>
    <w:rsid w:val="34CD284A"/>
    <w:rsid w:val="34D91FCA"/>
    <w:rsid w:val="34FC1084"/>
    <w:rsid w:val="35015356"/>
    <w:rsid w:val="350E132D"/>
    <w:rsid w:val="353956E0"/>
    <w:rsid w:val="35427055"/>
    <w:rsid w:val="354C62BB"/>
    <w:rsid w:val="355E3363"/>
    <w:rsid w:val="356D51B8"/>
    <w:rsid w:val="35746206"/>
    <w:rsid w:val="359B4F4D"/>
    <w:rsid w:val="35F97046"/>
    <w:rsid w:val="36060E8D"/>
    <w:rsid w:val="363B5648"/>
    <w:rsid w:val="36BD01AB"/>
    <w:rsid w:val="36C96826"/>
    <w:rsid w:val="36F61BED"/>
    <w:rsid w:val="3739151C"/>
    <w:rsid w:val="376A3351"/>
    <w:rsid w:val="37812FB3"/>
    <w:rsid w:val="37996EF0"/>
    <w:rsid w:val="37AE26B4"/>
    <w:rsid w:val="37D3257F"/>
    <w:rsid w:val="37E96E91"/>
    <w:rsid w:val="38140DA6"/>
    <w:rsid w:val="384134B0"/>
    <w:rsid w:val="38A30F71"/>
    <w:rsid w:val="38C5739D"/>
    <w:rsid w:val="39252456"/>
    <w:rsid w:val="392B2E06"/>
    <w:rsid w:val="39511A2D"/>
    <w:rsid w:val="39AB4522"/>
    <w:rsid w:val="3A07764F"/>
    <w:rsid w:val="3A0A0A22"/>
    <w:rsid w:val="3A0F31AB"/>
    <w:rsid w:val="3A295AED"/>
    <w:rsid w:val="3B0875B5"/>
    <w:rsid w:val="3B271B20"/>
    <w:rsid w:val="3B2E0A4C"/>
    <w:rsid w:val="3B3D7D30"/>
    <w:rsid w:val="3B402AA6"/>
    <w:rsid w:val="3B461019"/>
    <w:rsid w:val="3B49085C"/>
    <w:rsid w:val="3B70123E"/>
    <w:rsid w:val="3BAF1802"/>
    <w:rsid w:val="3BB50724"/>
    <w:rsid w:val="3BEC3703"/>
    <w:rsid w:val="3C110CA6"/>
    <w:rsid w:val="3C307670"/>
    <w:rsid w:val="3C466C22"/>
    <w:rsid w:val="3C4A27CA"/>
    <w:rsid w:val="3C4D0BF3"/>
    <w:rsid w:val="3C9F0162"/>
    <w:rsid w:val="3CAF76CC"/>
    <w:rsid w:val="3CB474D0"/>
    <w:rsid w:val="3CC733F6"/>
    <w:rsid w:val="3CED7AD7"/>
    <w:rsid w:val="3D0D2504"/>
    <w:rsid w:val="3D1E3046"/>
    <w:rsid w:val="3D271DA5"/>
    <w:rsid w:val="3D305A69"/>
    <w:rsid w:val="3D99229A"/>
    <w:rsid w:val="3DA45DCF"/>
    <w:rsid w:val="3DC04583"/>
    <w:rsid w:val="3DC21F65"/>
    <w:rsid w:val="3DD40BA7"/>
    <w:rsid w:val="3DE07025"/>
    <w:rsid w:val="3DF96015"/>
    <w:rsid w:val="3E0B60BD"/>
    <w:rsid w:val="3E12045D"/>
    <w:rsid w:val="3E717199"/>
    <w:rsid w:val="3E792F53"/>
    <w:rsid w:val="3EA76E5D"/>
    <w:rsid w:val="3EEB79E6"/>
    <w:rsid w:val="3EF929E4"/>
    <w:rsid w:val="3F0500C9"/>
    <w:rsid w:val="3F185418"/>
    <w:rsid w:val="3F434CC6"/>
    <w:rsid w:val="3F4E3270"/>
    <w:rsid w:val="3F4F3DC1"/>
    <w:rsid w:val="3F9971E2"/>
    <w:rsid w:val="3FB007CD"/>
    <w:rsid w:val="3FEF03C8"/>
    <w:rsid w:val="3FFD46A3"/>
    <w:rsid w:val="3FFD5DF4"/>
    <w:rsid w:val="400B0F27"/>
    <w:rsid w:val="405E1E64"/>
    <w:rsid w:val="40953626"/>
    <w:rsid w:val="40BB6718"/>
    <w:rsid w:val="40E06F7B"/>
    <w:rsid w:val="40E30F98"/>
    <w:rsid w:val="40ED465B"/>
    <w:rsid w:val="40F1357F"/>
    <w:rsid w:val="410403C5"/>
    <w:rsid w:val="4104155E"/>
    <w:rsid w:val="410B6EA5"/>
    <w:rsid w:val="413B65EB"/>
    <w:rsid w:val="415525F7"/>
    <w:rsid w:val="41994815"/>
    <w:rsid w:val="41C25A8E"/>
    <w:rsid w:val="41FA5E9E"/>
    <w:rsid w:val="420B7DD8"/>
    <w:rsid w:val="422A7E89"/>
    <w:rsid w:val="4289127A"/>
    <w:rsid w:val="42A50008"/>
    <w:rsid w:val="42B078A3"/>
    <w:rsid w:val="42C637EB"/>
    <w:rsid w:val="42FC31A1"/>
    <w:rsid w:val="43002F0B"/>
    <w:rsid w:val="430C39B0"/>
    <w:rsid w:val="436B4175"/>
    <w:rsid w:val="43842D27"/>
    <w:rsid w:val="43862CEE"/>
    <w:rsid w:val="438C7165"/>
    <w:rsid w:val="438F0D2F"/>
    <w:rsid w:val="43C320A9"/>
    <w:rsid w:val="43D238A4"/>
    <w:rsid w:val="43DA00C2"/>
    <w:rsid w:val="43EE281F"/>
    <w:rsid w:val="43F10D0A"/>
    <w:rsid w:val="442A6C83"/>
    <w:rsid w:val="4432145C"/>
    <w:rsid w:val="4435264B"/>
    <w:rsid w:val="44383CE8"/>
    <w:rsid w:val="448036E6"/>
    <w:rsid w:val="44AE1636"/>
    <w:rsid w:val="44CC19F8"/>
    <w:rsid w:val="45045D52"/>
    <w:rsid w:val="45073863"/>
    <w:rsid w:val="450E7A35"/>
    <w:rsid w:val="45373CAC"/>
    <w:rsid w:val="45434057"/>
    <w:rsid w:val="45447269"/>
    <w:rsid w:val="45510EF7"/>
    <w:rsid w:val="45734F39"/>
    <w:rsid w:val="459A6E14"/>
    <w:rsid w:val="45E066B2"/>
    <w:rsid w:val="460116B8"/>
    <w:rsid w:val="462C7C0B"/>
    <w:rsid w:val="46DA6F5B"/>
    <w:rsid w:val="46FA1FA0"/>
    <w:rsid w:val="470B0640"/>
    <w:rsid w:val="471474DD"/>
    <w:rsid w:val="47266FEB"/>
    <w:rsid w:val="47506E6F"/>
    <w:rsid w:val="47634962"/>
    <w:rsid w:val="47765CC4"/>
    <w:rsid w:val="47B36711"/>
    <w:rsid w:val="47E54EF3"/>
    <w:rsid w:val="47FF432C"/>
    <w:rsid w:val="4847671C"/>
    <w:rsid w:val="485C12F5"/>
    <w:rsid w:val="48A425A5"/>
    <w:rsid w:val="48A43884"/>
    <w:rsid w:val="48D36AAD"/>
    <w:rsid w:val="48DF56D3"/>
    <w:rsid w:val="48F722EE"/>
    <w:rsid w:val="48FB5FD4"/>
    <w:rsid w:val="49072C09"/>
    <w:rsid w:val="49403647"/>
    <w:rsid w:val="497E786F"/>
    <w:rsid w:val="498B22C6"/>
    <w:rsid w:val="49A20059"/>
    <w:rsid w:val="49A3556F"/>
    <w:rsid w:val="49AC64CD"/>
    <w:rsid w:val="49C35322"/>
    <w:rsid w:val="49DB66BF"/>
    <w:rsid w:val="49E52511"/>
    <w:rsid w:val="4A05639B"/>
    <w:rsid w:val="4A6B73C3"/>
    <w:rsid w:val="4A6F5C12"/>
    <w:rsid w:val="4A99383E"/>
    <w:rsid w:val="4A99483E"/>
    <w:rsid w:val="4AB31E00"/>
    <w:rsid w:val="4AD742DE"/>
    <w:rsid w:val="4AF04087"/>
    <w:rsid w:val="4AF511D1"/>
    <w:rsid w:val="4AFC7EA9"/>
    <w:rsid w:val="4B0B3200"/>
    <w:rsid w:val="4B2C6F5D"/>
    <w:rsid w:val="4B531692"/>
    <w:rsid w:val="4BBA6237"/>
    <w:rsid w:val="4BBB589F"/>
    <w:rsid w:val="4BD03B29"/>
    <w:rsid w:val="4BD410AD"/>
    <w:rsid w:val="4BDD7AEB"/>
    <w:rsid w:val="4C4C7E60"/>
    <w:rsid w:val="4C545489"/>
    <w:rsid w:val="4C624426"/>
    <w:rsid w:val="4C6A12EB"/>
    <w:rsid w:val="4C752DA6"/>
    <w:rsid w:val="4C761141"/>
    <w:rsid w:val="4CA17039"/>
    <w:rsid w:val="4CB61558"/>
    <w:rsid w:val="4CBF21A0"/>
    <w:rsid w:val="4D65649A"/>
    <w:rsid w:val="4D8F6462"/>
    <w:rsid w:val="4DC15329"/>
    <w:rsid w:val="4DCF0E15"/>
    <w:rsid w:val="4DCF6387"/>
    <w:rsid w:val="4DE84C5B"/>
    <w:rsid w:val="4DFF45F6"/>
    <w:rsid w:val="4E1913B2"/>
    <w:rsid w:val="4E1C4BF7"/>
    <w:rsid w:val="4E2157BB"/>
    <w:rsid w:val="4E436A96"/>
    <w:rsid w:val="4E463F42"/>
    <w:rsid w:val="4E645CCE"/>
    <w:rsid w:val="4E6F3AFD"/>
    <w:rsid w:val="4E8625E3"/>
    <w:rsid w:val="4E8830CB"/>
    <w:rsid w:val="4E9D5A4D"/>
    <w:rsid w:val="4EB84C02"/>
    <w:rsid w:val="4EC54A46"/>
    <w:rsid w:val="4F1E32CC"/>
    <w:rsid w:val="4F37CD56"/>
    <w:rsid w:val="4F6C7699"/>
    <w:rsid w:val="4F6E77A5"/>
    <w:rsid w:val="4F7149FD"/>
    <w:rsid w:val="4FA96124"/>
    <w:rsid w:val="4FBD2324"/>
    <w:rsid w:val="4FC33A60"/>
    <w:rsid w:val="4FC73187"/>
    <w:rsid w:val="4FE165E8"/>
    <w:rsid w:val="4FEA3B42"/>
    <w:rsid w:val="4FEF2154"/>
    <w:rsid w:val="50067BDE"/>
    <w:rsid w:val="500E70E6"/>
    <w:rsid w:val="501E12FE"/>
    <w:rsid w:val="502B62B7"/>
    <w:rsid w:val="507C523F"/>
    <w:rsid w:val="50817C20"/>
    <w:rsid w:val="5094395A"/>
    <w:rsid w:val="50A12B7D"/>
    <w:rsid w:val="51201E1E"/>
    <w:rsid w:val="51321AA6"/>
    <w:rsid w:val="51415E58"/>
    <w:rsid w:val="51484099"/>
    <w:rsid w:val="518C346B"/>
    <w:rsid w:val="51937B1A"/>
    <w:rsid w:val="51EA6553"/>
    <w:rsid w:val="51ED5C1B"/>
    <w:rsid w:val="51F40FAC"/>
    <w:rsid w:val="52015981"/>
    <w:rsid w:val="520E1C8B"/>
    <w:rsid w:val="52C43F80"/>
    <w:rsid w:val="52CF35A1"/>
    <w:rsid w:val="52E71F7D"/>
    <w:rsid w:val="535D76B3"/>
    <w:rsid w:val="539A07FD"/>
    <w:rsid w:val="539C3B42"/>
    <w:rsid w:val="53A27BDF"/>
    <w:rsid w:val="53B267A0"/>
    <w:rsid w:val="53B62342"/>
    <w:rsid w:val="53BC0A3F"/>
    <w:rsid w:val="53EC5C40"/>
    <w:rsid w:val="53EF235F"/>
    <w:rsid w:val="53F36E82"/>
    <w:rsid w:val="53F879AC"/>
    <w:rsid w:val="53FF65A1"/>
    <w:rsid w:val="544F40E9"/>
    <w:rsid w:val="546B0FF6"/>
    <w:rsid w:val="548526A2"/>
    <w:rsid w:val="549B6A00"/>
    <w:rsid w:val="54A16600"/>
    <w:rsid w:val="553B3219"/>
    <w:rsid w:val="55693C67"/>
    <w:rsid w:val="5571427E"/>
    <w:rsid w:val="55815CE2"/>
    <w:rsid w:val="559C5ECB"/>
    <w:rsid w:val="55A3484F"/>
    <w:rsid w:val="55A3728F"/>
    <w:rsid w:val="55CF3116"/>
    <w:rsid w:val="55D33B22"/>
    <w:rsid w:val="55EE0ABA"/>
    <w:rsid w:val="55F9301F"/>
    <w:rsid w:val="5610317D"/>
    <w:rsid w:val="56727B0B"/>
    <w:rsid w:val="56BE26F3"/>
    <w:rsid w:val="56E2722D"/>
    <w:rsid w:val="56EF2554"/>
    <w:rsid w:val="57311FFE"/>
    <w:rsid w:val="574A3F1C"/>
    <w:rsid w:val="574B0FA0"/>
    <w:rsid w:val="57777FEC"/>
    <w:rsid w:val="5840605E"/>
    <w:rsid w:val="584E6006"/>
    <w:rsid w:val="586B33CA"/>
    <w:rsid w:val="5881697D"/>
    <w:rsid w:val="59107285"/>
    <w:rsid w:val="591B0917"/>
    <w:rsid w:val="594D05EB"/>
    <w:rsid w:val="594D6B96"/>
    <w:rsid w:val="59661BC3"/>
    <w:rsid w:val="59A13696"/>
    <w:rsid w:val="59B0633C"/>
    <w:rsid w:val="59C32557"/>
    <w:rsid w:val="59E743AF"/>
    <w:rsid w:val="5A3F49F1"/>
    <w:rsid w:val="5A957F76"/>
    <w:rsid w:val="5B2E5E42"/>
    <w:rsid w:val="5B356E24"/>
    <w:rsid w:val="5B714F99"/>
    <w:rsid w:val="5B896862"/>
    <w:rsid w:val="5BB313DE"/>
    <w:rsid w:val="5BB87E9C"/>
    <w:rsid w:val="5BD80762"/>
    <w:rsid w:val="5BE25373"/>
    <w:rsid w:val="5BE774E1"/>
    <w:rsid w:val="5BF7130B"/>
    <w:rsid w:val="5C175043"/>
    <w:rsid w:val="5C4D4EFB"/>
    <w:rsid w:val="5C774447"/>
    <w:rsid w:val="5C850387"/>
    <w:rsid w:val="5C96377F"/>
    <w:rsid w:val="5CAD2343"/>
    <w:rsid w:val="5CCB1A2A"/>
    <w:rsid w:val="5CCD46AC"/>
    <w:rsid w:val="5CF764A8"/>
    <w:rsid w:val="5D551B29"/>
    <w:rsid w:val="5DA968B2"/>
    <w:rsid w:val="5DC325AB"/>
    <w:rsid w:val="5DE42D5E"/>
    <w:rsid w:val="5DFD37AF"/>
    <w:rsid w:val="5E077DCB"/>
    <w:rsid w:val="5E151480"/>
    <w:rsid w:val="5E3865C4"/>
    <w:rsid w:val="5E6155D2"/>
    <w:rsid w:val="5E9E5397"/>
    <w:rsid w:val="5EB947AD"/>
    <w:rsid w:val="5EBD54A1"/>
    <w:rsid w:val="5EC10398"/>
    <w:rsid w:val="5EF34DEA"/>
    <w:rsid w:val="5F1F1C11"/>
    <w:rsid w:val="5F5F549F"/>
    <w:rsid w:val="5F764674"/>
    <w:rsid w:val="5F9D1970"/>
    <w:rsid w:val="5FAA3F8F"/>
    <w:rsid w:val="5FB53042"/>
    <w:rsid w:val="5FC91CE4"/>
    <w:rsid w:val="5FDC3084"/>
    <w:rsid w:val="5FF80CDC"/>
    <w:rsid w:val="602F4F9A"/>
    <w:rsid w:val="605E7EAF"/>
    <w:rsid w:val="60810524"/>
    <w:rsid w:val="60947D38"/>
    <w:rsid w:val="60DE6AF1"/>
    <w:rsid w:val="60FC23E7"/>
    <w:rsid w:val="612A1860"/>
    <w:rsid w:val="61336F12"/>
    <w:rsid w:val="61397832"/>
    <w:rsid w:val="613A3AB6"/>
    <w:rsid w:val="615A42AE"/>
    <w:rsid w:val="61E827B0"/>
    <w:rsid w:val="6203316B"/>
    <w:rsid w:val="62BE40E5"/>
    <w:rsid w:val="62F066D1"/>
    <w:rsid w:val="6322414B"/>
    <w:rsid w:val="63454DBD"/>
    <w:rsid w:val="63547320"/>
    <w:rsid w:val="63661D6C"/>
    <w:rsid w:val="6393499A"/>
    <w:rsid w:val="63AA3201"/>
    <w:rsid w:val="63AE21AB"/>
    <w:rsid w:val="63E97020"/>
    <w:rsid w:val="63FD663B"/>
    <w:rsid w:val="640211FB"/>
    <w:rsid w:val="64307A88"/>
    <w:rsid w:val="64423490"/>
    <w:rsid w:val="645F0A62"/>
    <w:rsid w:val="646B1D89"/>
    <w:rsid w:val="64AE2728"/>
    <w:rsid w:val="64E71444"/>
    <w:rsid w:val="64EC4043"/>
    <w:rsid w:val="64F40E09"/>
    <w:rsid w:val="6507483F"/>
    <w:rsid w:val="655B03F4"/>
    <w:rsid w:val="6576129F"/>
    <w:rsid w:val="65853519"/>
    <w:rsid w:val="65D24742"/>
    <w:rsid w:val="65E23F9C"/>
    <w:rsid w:val="66152D27"/>
    <w:rsid w:val="662A0513"/>
    <w:rsid w:val="66356503"/>
    <w:rsid w:val="66A4131B"/>
    <w:rsid w:val="66E723BC"/>
    <w:rsid w:val="672142D0"/>
    <w:rsid w:val="672D7FD7"/>
    <w:rsid w:val="67442C6F"/>
    <w:rsid w:val="674562A9"/>
    <w:rsid w:val="67624498"/>
    <w:rsid w:val="67675E25"/>
    <w:rsid w:val="67A86C20"/>
    <w:rsid w:val="67B95AC4"/>
    <w:rsid w:val="67CE391B"/>
    <w:rsid w:val="67EC07D2"/>
    <w:rsid w:val="680D34E8"/>
    <w:rsid w:val="6823654E"/>
    <w:rsid w:val="68321562"/>
    <w:rsid w:val="683760BB"/>
    <w:rsid w:val="6839568B"/>
    <w:rsid w:val="689248AE"/>
    <w:rsid w:val="68D47347"/>
    <w:rsid w:val="68FF6CFD"/>
    <w:rsid w:val="690A233C"/>
    <w:rsid w:val="690E3212"/>
    <w:rsid w:val="692938E9"/>
    <w:rsid w:val="69312609"/>
    <w:rsid w:val="69480BC9"/>
    <w:rsid w:val="69684069"/>
    <w:rsid w:val="69766BE5"/>
    <w:rsid w:val="697701B5"/>
    <w:rsid w:val="699970B4"/>
    <w:rsid w:val="69CA117A"/>
    <w:rsid w:val="69F213A4"/>
    <w:rsid w:val="6A340F28"/>
    <w:rsid w:val="6A342C31"/>
    <w:rsid w:val="6A4133B7"/>
    <w:rsid w:val="6A736E22"/>
    <w:rsid w:val="6A74474C"/>
    <w:rsid w:val="6AC3315F"/>
    <w:rsid w:val="6AE037E8"/>
    <w:rsid w:val="6B157FED"/>
    <w:rsid w:val="6B2A4DD6"/>
    <w:rsid w:val="6B4354F3"/>
    <w:rsid w:val="6B5D7716"/>
    <w:rsid w:val="6BC65289"/>
    <w:rsid w:val="6BF37E98"/>
    <w:rsid w:val="6C12381A"/>
    <w:rsid w:val="6C520861"/>
    <w:rsid w:val="6C7C711B"/>
    <w:rsid w:val="6C8647C0"/>
    <w:rsid w:val="6CAA5DE6"/>
    <w:rsid w:val="6CCF73E6"/>
    <w:rsid w:val="6D1C0F3E"/>
    <w:rsid w:val="6D337993"/>
    <w:rsid w:val="6D5323F9"/>
    <w:rsid w:val="6D6A36DB"/>
    <w:rsid w:val="6D8C0740"/>
    <w:rsid w:val="6DCD0A62"/>
    <w:rsid w:val="6DE040FC"/>
    <w:rsid w:val="6DF3769C"/>
    <w:rsid w:val="6E2D1EFD"/>
    <w:rsid w:val="6E2F1277"/>
    <w:rsid w:val="6E360078"/>
    <w:rsid w:val="6E3730E8"/>
    <w:rsid w:val="6E422FC4"/>
    <w:rsid w:val="6EA817FD"/>
    <w:rsid w:val="6EE305A6"/>
    <w:rsid w:val="6EE5581D"/>
    <w:rsid w:val="6F0034AB"/>
    <w:rsid w:val="6F3C0A01"/>
    <w:rsid w:val="6F4A55A3"/>
    <w:rsid w:val="6F88292B"/>
    <w:rsid w:val="6FA1434B"/>
    <w:rsid w:val="6FCB28EB"/>
    <w:rsid w:val="7036715D"/>
    <w:rsid w:val="70540D0B"/>
    <w:rsid w:val="70E25371"/>
    <w:rsid w:val="70E44757"/>
    <w:rsid w:val="70F00A48"/>
    <w:rsid w:val="70F37E0B"/>
    <w:rsid w:val="710B0869"/>
    <w:rsid w:val="713C138F"/>
    <w:rsid w:val="71541349"/>
    <w:rsid w:val="717578A8"/>
    <w:rsid w:val="718952F7"/>
    <w:rsid w:val="71932D63"/>
    <w:rsid w:val="719B6A3C"/>
    <w:rsid w:val="71AB64AB"/>
    <w:rsid w:val="71C50472"/>
    <w:rsid w:val="71D00778"/>
    <w:rsid w:val="71E51638"/>
    <w:rsid w:val="71FA2D01"/>
    <w:rsid w:val="71FD677F"/>
    <w:rsid w:val="720B11BE"/>
    <w:rsid w:val="72472612"/>
    <w:rsid w:val="725B695C"/>
    <w:rsid w:val="72932A72"/>
    <w:rsid w:val="72A63B6E"/>
    <w:rsid w:val="72D10B73"/>
    <w:rsid w:val="72EE6030"/>
    <w:rsid w:val="72F666E0"/>
    <w:rsid w:val="730A3C81"/>
    <w:rsid w:val="730C438A"/>
    <w:rsid w:val="731C7679"/>
    <w:rsid w:val="731E4722"/>
    <w:rsid w:val="73362A6F"/>
    <w:rsid w:val="733B5261"/>
    <w:rsid w:val="734C0D1A"/>
    <w:rsid w:val="734C3753"/>
    <w:rsid w:val="734E5EF2"/>
    <w:rsid w:val="7352631F"/>
    <w:rsid w:val="73705938"/>
    <w:rsid w:val="737B16FF"/>
    <w:rsid w:val="73921238"/>
    <w:rsid w:val="739549BF"/>
    <w:rsid w:val="739F1708"/>
    <w:rsid w:val="73C55761"/>
    <w:rsid w:val="73E30841"/>
    <w:rsid w:val="74002D64"/>
    <w:rsid w:val="743114E2"/>
    <w:rsid w:val="7459522D"/>
    <w:rsid w:val="74651257"/>
    <w:rsid w:val="74D22546"/>
    <w:rsid w:val="74E67876"/>
    <w:rsid w:val="75851EB0"/>
    <w:rsid w:val="75B55F17"/>
    <w:rsid w:val="75BA28C0"/>
    <w:rsid w:val="75D95968"/>
    <w:rsid w:val="75DB28BD"/>
    <w:rsid w:val="75FE0B90"/>
    <w:rsid w:val="764D0599"/>
    <w:rsid w:val="7659525E"/>
    <w:rsid w:val="769D4D4B"/>
    <w:rsid w:val="76B346A1"/>
    <w:rsid w:val="76F52885"/>
    <w:rsid w:val="773224A6"/>
    <w:rsid w:val="777A5093"/>
    <w:rsid w:val="77812F93"/>
    <w:rsid w:val="778D3E3E"/>
    <w:rsid w:val="77CC2EA1"/>
    <w:rsid w:val="78045934"/>
    <w:rsid w:val="785B26E0"/>
    <w:rsid w:val="7880496A"/>
    <w:rsid w:val="78D01EE0"/>
    <w:rsid w:val="790A6A23"/>
    <w:rsid w:val="79347138"/>
    <w:rsid w:val="79370E4B"/>
    <w:rsid w:val="798055B6"/>
    <w:rsid w:val="799968DC"/>
    <w:rsid w:val="79C46D97"/>
    <w:rsid w:val="79CD732A"/>
    <w:rsid w:val="79E95FDF"/>
    <w:rsid w:val="7A0114DA"/>
    <w:rsid w:val="7A0C73EB"/>
    <w:rsid w:val="7A0D5880"/>
    <w:rsid w:val="7A1F027E"/>
    <w:rsid w:val="7A266224"/>
    <w:rsid w:val="7A282971"/>
    <w:rsid w:val="7A423473"/>
    <w:rsid w:val="7A5A66E6"/>
    <w:rsid w:val="7A944E3B"/>
    <w:rsid w:val="7AC13557"/>
    <w:rsid w:val="7AEC5FF3"/>
    <w:rsid w:val="7B687C38"/>
    <w:rsid w:val="7B875945"/>
    <w:rsid w:val="7B8E3565"/>
    <w:rsid w:val="7BD84B23"/>
    <w:rsid w:val="7C064355"/>
    <w:rsid w:val="7C1E2840"/>
    <w:rsid w:val="7C345838"/>
    <w:rsid w:val="7C3D7983"/>
    <w:rsid w:val="7C880AFF"/>
    <w:rsid w:val="7C8E0F08"/>
    <w:rsid w:val="7C92092F"/>
    <w:rsid w:val="7C94591C"/>
    <w:rsid w:val="7C966908"/>
    <w:rsid w:val="7CDB01F7"/>
    <w:rsid w:val="7D134302"/>
    <w:rsid w:val="7D735EC8"/>
    <w:rsid w:val="7DB82859"/>
    <w:rsid w:val="7DE41D9F"/>
    <w:rsid w:val="7DE93EB9"/>
    <w:rsid w:val="7E314DDE"/>
    <w:rsid w:val="7E4814BB"/>
    <w:rsid w:val="7E490A3A"/>
    <w:rsid w:val="7E4EBBBE"/>
    <w:rsid w:val="7E562B09"/>
    <w:rsid w:val="7E57488D"/>
    <w:rsid w:val="7E622A1B"/>
    <w:rsid w:val="7E804818"/>
    <w:rsid w:val="7E9558D0"/>
    <w:rsid w:val="7EAFA8AB"/>
    <w:rsid w:val="7EF450DD"/>
    <w:rsid w:val="7F067756"/>
    <w:rsid w:val="7F3D1D36"/>
    <w:rsid w:val="7F612D78"/>
    <w:rsid w:val="7F8711AA"/>
    <w:rsid w:val="7FC57315"/>
    <w:rsid w:val="7FE7BEC2"/>
    <w:rsid w:val="CEF79081"/>
    <w:rsid w:val="DBFEF84A"/>
    <w:rsid w:val="DE6F88E3"/>
    <w:rsid w:val="FCAF1D50"/>
    <w:rsid w:val="FFB77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3"/>
    <w:basedOn w:val="1"/>
    <w:next w:val="1"/>
    <w:qFormat/>
    <w:uiPriority w:val="0"/>
    <w:pPr>
      <w:keepNext/>
      <w:keepLines/>
      <w:spacing w:line="416" w:lineRule="auto"/>
      <w:outlineLvl w:val="2"/>
    </w:pPr>
    <w:rPr>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39"/>
    <w:pPr>
      <w:ind w:left="840" w:leftChars="400"/>
    </w:pPr>
  </w:style>
  <w:style w:type="paragraph" w:styleId="4">
    <w:name w:val="Normal Indent"/>
    <w:basedOn w:val="1"/>
    <w:qFormat/>
    <w:uiPriority w:val="0"/>
    <w:pPr>
      <w:ind w:firstLine="420" w:firstLineChars="200"/>
    </w:pPr>
  </w:style>
  <w:style w:type="paragraph" w:styleId="5">
    <w:name w:val="annotation text"/>
    <w:basedOn w:val="1"/>
    <w:qFormat/>
    <w:uiPriority w:val="0"/>
    <w:pPr>
      <w:jc w:val="left"/>
    </w:pPr>
  </w:style>
  <w:style w:type="paragraph" w:styleId="6">
    <w:name w:val="Body Text"/>
    <w:basedOn w:val="1"/>
    <w:next w:val="7"/>
    <w:qFormat/>
    <w:uiPriority w:val="0"/>
  </w:style>
  <w:style w:type="paragraph" w:styleId="7">
    <w:name w:val="Title"/>
    <w:basedOn w:val="1"/>
    <w:next w:val="1"/>
    <w:qFormat/>
    <w:uiPriority w:val="0"/>
    <w:pPr>
      <w:spacing w:line="360" w:lineRule="auto"/>
      <w:jc w:val="center"/>
      <w:outlineLvl w:val="0"/>
    </w:pPr>
    <w:rPr>
      <w:rFonts w:ascii="Cambria" w:hAnsi="Cambria" w:cs="Times New Roman"/>
      <w:b/>
      <w:bCs/>
      <w:sz w:val="32"/>
      <w:szCs w:val="32"/>
      <w:lang w:eastAsia="en-US" w:bidi="en-US"/>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99"/>
    <w:pPr>
      <w:spacing w:before="0" w:beforeAutospacing="1" w:after="0" w:afterAutospacing="1"/>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
    <w:name w:val="列出段落1"/>
    <w:basedOn w:val="1"/>
    <w:qFormat/>
    <w:uiPriority w:val="0"/>
    <w:pPr>
      <w:ind w:firstLine="420" w:firstLineChars="200"/>
    </w:pPr>
  </w:style>
  <w:style w:type="paragraph" w:customStyle="1" w:styleId="18">
    <w:name w:val="第一条"/>
    <w:basedOn w:val="1"/>
    <w:next w:val="4"/>
    <w:qFormat/>
    <w:uiPriority w:val="0"/>
    <w:pPr>
      <w:spacing w:line="360" w:lineRule="auto"/>
      <w:jc w:val="center"/>
    </w:pPr>
    <w:rPr>
      <w:rFonts w:hAnsi="宋体"/>
      <w:sz w:val="24"/>
    </w:rPr>
  </w:style>
  <w:style w:type="character" w:customStyle="1" w:styleId="19">
    <w:name w:val="fontstyle01"/>
    <w:qFormat/>
    <w:uiPriority w:val="0"/>
    <w:rPr>
      <w:rFonts w:hint="eastAsia" w:ascii="华文仿宋" w:hAnsi="华文仿宋" w:eastAsia="华文仿宋" w:cs="Times New Roman"/>
      <w:color w:val="000000"/>
      <w:sz w:val="32"/>
      <w:lang w:val="en-US" w:eastAsia="zh-CN" w:bidi="ar-SA"/>
    </w:rPr>
  </w:style>
  <w:style w:type="paragraph" w:customStyle="1" w:styleId="20">
    <w:name w:val="列出段落12"/>
    <w:basedOn w:val="1"/>
    <w:qFormat/>
    <w:uiPriority w:val="99"/>
    <w:pPr>
      <w:ind w:firstLine="420" w:firstLineChars="200"/>
    </w:pPr>
  </w:style>
  <w:style w:type="paragraph" w:customStyle="1" w:styleId="21">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6180</Words>
  <Characters>6203</Characters>
  <Lines>0</Lines>
  <Paragraphs>0</Paragraphs>
  <TotalTime>5</TotalTime>
  <ScaleCrop>false</ScaleCrop>
  <LinksUpToDate>false</LinksUpToDate>
  <CharactersWithSpaces>6279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2024-11-18T15:06:00Z</dcterms:created>
  <dc:creator>1</dc:creator>
  <cp:lastModifiedBy>卡摩</cp:lastModifiedBy>
  <cp:lastPrinted>2025-03-24T01:40:00Z</cp:lastPrinted>
  <dcterms:modified xsi:type="dcterms:W3CDTF">2025-04-08T08:52:29Z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F845C7D9BE223C71B6DDB267DB08CAA9_43</vt:lpwstr>
  </property>
  <property fmtid="{D5CDD505-2E9C-101B-9397-08002B2CF9AE}" pid="4" name="KSOTemplateDocerSaveRecord">
    <vt:lpwstr>eyJoZGlkIjoiNGUxNmZkNjdjZTdhNDg3OWM0NWYwMDhhMzBmZmVjYTEiLCJ1c2VySWQiOiI3Mjk1MDMxODQifQ==</vt:lpwstr>
  </property>
</Properties>
</file>