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eastAsia" w:ascii="Times New Roman" w:hAnsi="Times New Roman" w:eastAsia="方正小标宋简体" w:cs="方正小标宋简体"/>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eastAsia" w:ascii="Times New Roman" w:hAnsi="Times New Roman" w:eastAsia="方正小标宋简体" w:cs="方正小标宋简体"/>
          <w:sz w:val="44"/>
          <w:szCs w:val="44"/>
          <w:highlight w:val="none"/>
          <w:lang w:val="en-US" w:eastAsia="zh-CN"/>
        </w:rPr>
      </w:pPr>
      <w:r>
        <w:rPr>
          <w:rFonts w:hint="eastAsia" w:ascii="Times New Roman" w:hAnsi="Times New Roman" w:eastAsia="方正小标宋简体" w:cs="方正小标宋简体"/>
          <w:sz w:val="44"/>
          <w:szCs w:val="44"/>
          <w:highlight w:val="none"/>
          <w:lang w:val="en-US" w:eastAsia="zh-CN"/>
        </w:rPr>
        <w:t>省能源局关于有序推动绿电直连发展</w:t>
      </w:r>
    </w:p>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default" w:ascii="Times New Roman" w:hAnsi="Times New Roman" w:eastAsia="方正小标宋简体" w:cs="方正小标宋简体"/>
          <w:sz w:val="44"/>
          <w:szCs w:val="44"/>
          <w:highlight w:val="none"/>
          <w:lang w:val="en-US" w:eastAsia="zh-CN"/>
        </w:rPr>
      </w:pPr>
      <w:r>
        <w:rPr>
          <w:rFonts w:hint="eastAsia" w:ascii="Times New Roman" w:hAnsi="Times New Roman" w:eastAsia="方正小标宋简体" w:cs="方正小标宋简体"/>
          <w:sz w:val="44"/>
          <w:szCs w:val="44"/>
          <w:highlight w:val="none"/>
          <w:lang w:val="en-US" w:eastAsia="zh-CN"/>
        </w:rPr>
        <w:t>有关事项的通知</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楷体_GBK" w:hAnsi="方正楷体_GBK" w:eastAsia="方正楷体_GBK" w:cs="方正楷体_GBK"/>
          <w:sz w:val="32"/>
          <w:szCs w:val="32"/>
          <w:highlight w:val="none"/>
          <w:lang w:val="en-US" w:eastAsia="zh-CN"/>
        </w:rPr>
      </w:pPr>
      <w:r>
        <w:rPr>
          <w:rFonts w:hint="eastAsia" w:ascii="方正楷体_GBK" w:hAnsi="方正楷体_GBK" w:eastAsia="方正楷体_GBK" w:cs="方正楷体_GBK"/>
          <w:sz w:val="32"/>
          <w:szCs w:val="32"/>
          <w:highlight w:val="none"/>
          <w:lang w:val="en-US" w:eastAsia="zh-CN"/>
        </w:rPr>
        <w:t>（征求意见稿）</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Times New Roman" w:hAnsi="Times New Roman" w:eastAsia="方正小标宋简体" w:cs="方正小标宋简体"/>
          <w:sz w:val="44"/>
          <w:szCs w:val="44"/>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各市（州）能源主管部门、各有关企业：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为深入贯彻落实《国家发展改革委</w:t>
      </w:r>
      <w:r>
        <w:rPr>
          <w:rFonts w:hint="eastAsia" w:ascii="Times New Roman" w:hAnsi="Times New Roman" w:eastAsia="仿宋_GB2312" w:cs="仿宋_GB2312"/>
          <w:sz w:val="32"/>
          <w:szCs w:val="32"/>
          <w:highlight w:val="none"/>
          <w:lang w:val="en-US" w:eastAsia="zh-CN"/>
        </w:rPr>
        <w:t xml:space="preserve"> </w:t>
      </w:r>
      <w:r>
        <w:rPr>
          <w:rFonts w:hint="eastAsia" w:ascii="Times New Roman" w:hAnsi="Times New Roman" w:eastAsia="仿宋_GB2312" w:cs="仿宋_GB2312"/>
          <w:sz w:val="32"/>
          <w:szCs w:val="32"/>
          <w:highlight w:val="none"/>
        </w:rPr>
        <w:t>国家能源局关于有序推动绿电直连发展有关事项的通知》（发改能源〔2025〕650号）、《国家发展改革委</w:t>
      </w:r>
      <w:r>
        <w:rPr>
          <w:rFonts w:hint="eastAsia" w:ascii="Times New Roman" w:hAnsi="Times New Roman" w:eastAsia="仿宋_GB2312" w:cs="仿宋_GB2312"/>
          <w:sz w:val="32"/>
          <w:szCs w:val="32"/>
          <w:highlight w:val="none"/>
          <w:lang w:val="en-US" w:eastAsia="zh-CN"/>
        </w:rPr>
        <w:t xml:space="preserve"> </w:t>
      </w:r>
      <w:r>
        <w:rPr>
          <w:rFonts w:hint="eastAsia" w:ascii="Times New Roman" w:hAnsi="Times New Roman" w:eastAsia="仿宋_GB2312" w:cs="仿宋_GB2312"/>
          <w:sz w:val="32"/>
          <w:szCs w:val="32"/>
          <w:highlight w:val="none"/>
        </w:rPr>
        <w:t>国家能源局关于完善价格机制促进新能源发电就近就地消纳的通知》（发改价格〔2025〕1192号）以及《国家发展改革委</w:t>
      </w:r>
      <w:r>
        <w:rPr>
          <w:rFonts w:hint="eastAsia" w:ascii="Times New Roman" w:hAnsi="Times New Roman" w:eastAsia="仿宋_GB2312" w:cs="仿宋_GB2312"/>
          <w:sz w:val="32"/>
          <w:szCs w:val="32"/>
          <w:highlight w:val="none"/>
          <w:lang w:val="en-US" w:eastAsia="zh-CN"/>
        </w:rPr>
        <w:t xml:space="preserve"> </w:t>
      </w:r>
      <w:r>
        <w:rPr>
          <w:rFonts w:hint="eastAsia" w:ascii="Times New Roman" w:hAnsi="Times New Roman" w:eastAsia="仿宋_GB2312" w:cs="仿宋_GB2312"/>
          <w:sz w:val="32"/>
          <w:szCs w:val="32"/>
          <w:highlight w:val="none"/>
        </w:rPr>
        <w:t>国家能源局关于有序推动多用户绿电直连发展有关事项的通知》（发改能源〔2026〕688号）等有关文件</w:t>
      </w:r>
      <w:r>
        <w:rPr>
          <w:rFonts w:hint="eastAsia" w:ascii="Times New Roman" w:hAnsi="Times New Roman" w:eastAsia="仿宋_GB2312" w:cs="仿宋_GB2312"/>
          <w:sz w:val="32"/>
          <w:szCs w:val="32"/>
          <w:highlight w:val="none"/>
          <w:lang w:val="en-US" w:eastAsia="zh-CN"/>
        </w:rPr>
        <w:t>精神</w:t>
      </w:r>
      <w:r>
        <w:rPr>
          <w:rFonts w:hint="eastAsia" w:ascii="Times New Roman" w:hAnsi="Times New Roman" w:eastAsia="仿宋_GB2312" w:cs="仿宋_GB2312"/>
          <w:sz w:val="32"/>
          <w:szCs w:val="32"/>
          <w:highlight w:val="none"/>
        </w:rPr>
        <w:t>，为满足企业绿色用能需求</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提升新能源就近就地消纳水平，结合我省实际，现</w:t>
      </w:r>
      <w:r>
        <w:rPr>
          <w:rFonts w:hint="eastAsia" w:ascii="Times New Roman" w:hAnsi="Times New Roman" w:eastAsia="仿宋_GB2312" w:cs="仿宋_GB2312"/>
          <w:sz w:val="32"/>
          <w:szCs w:val="32"/>
          <w:highlight w:val="none"/>
          <w:lang w:val="en-US" w:eastAsia="zh-CN"/>
        </w:rPr>
        <w:t>将</w:t>
      </w:r>
      <w:r>
        <w:rPr>
          <w:rFonts w:hint="eastAsia" w:ascii="Times New Roman" w:hAnsi="Times New Roman" w:eastAsia="仿宋_GB2312" w:cs="仿宋_GB2312"/>
          <w:sz w:val="32"/>
          <w:szCs w:val="32"/>
          <w:highlight w:val="none"/>
        </w:rPr>
        <w:t>有关事项通知如下。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一、适用范围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楷体_GB2312" w:cs="楷体_GB2312"/>
          <w:sz w:val="32"/>
          <w:szCs w:val="32"/>
          <w:highlight w:val="none"/>
          <w:lang w:val="en-US" w:eastAsia="zh"/>
        </w:rPr>
      </w:pPr>
      <w:r>
        <w:rPr>
          <w:rFonts w:hint="eastAsia" w:ascii="Times New Roman" w:hAnsi="Times New Roman" w:eastAsia="仿宋_GB2312" w:cs="仿宋_GB2312"/>
          <w:sz w:val="32"/>
          <w:szCs w:val="32"/>
          <w:highlight w:val="none"/>
          <w:lang w:eastAsia="zh"/>
        </w:rPr>
        <w:t>绿电直连是指风电、太阳能发电、生物质发电等新能源不直接接入公共电网，通过专用线路和变电设施向</w:t>
      </w:r>
      <w:r>
        <w:rPr>
          <w:rFonts w:hint="eastAsia" w:ascii="Times New Roman" w:hAnsi="Times New Roman" w:eastAsia="仿宋_GB2312" w:cs="仿宋_GB2312"/>
          <w:sz w:val="32"/>
          <w:szCs w:val="32"/>
          <w:highlight w:val="none"/>
          <w:lang w:val="en-US" w:eastAsia="zh-CN"/>
        </w:rPr>
        <w:t>用户</w:t>
      </w:r>
      <w:r>
        <w:rPr>
          <w:rFonts w:hint="eastAsia" w:ascii="Times New Roman" w:hAnsi="Times New Roman" w:eastAsia="仿宋_GB2312" w:cs="仿宋_GB2312"/>
          <w:sz w:val="32"/>
          <w:szCs w:val="32"/>
          <w:highlight w:val="none"/>
          <w:lang w:eastAsia="zh"/>
        </w:rPr>
        <w:t>供给绿电，实现供给电量清晰溯源和分配的模式</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按照用户数量分为单用户项目和多用户项目（</w:t>
      </w:r>
      <w:r>
        <w:rPr>
          <w:rFonts w:hint="eastAsia" w:ascii="Times New Roman" w:hAnsi="Times New Roman" w:eastAsia="仿宋_GB2312" w:cs="仿宋_GB2312"/>
          <w:sz w:val="32"/>
          <w:szCs w:val="32"/>
          <w:highlight w:val="none"/>
          <w:lang w:eastAsia="zh"/>
        </w:rPr>
        <w:t>多用户指多个不同法人实体，不包括居民和农业用户</w:t>
      </w:r>
      <w:r>
        <w:rPr>
          <w:rFonts w:hint="eastAsia" w:ascii="Times New Roman" w:hAnsi="Times New Roman" w:eastAsia="仿宋_GB2312" w:cs="仿宋_GB2312"/>
          <w:sz w:val="32"/>
          <w:szCs w:val="32"/>
          <w:highlight w:val="none"/>
          <w:lang w:val="en-US" w:eastAsia="zh-CN"/>
        </w:rPr>
        <w:t>）。源网荷储一体化项目统一按照绿电直连模式管理。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楷体_GB2312" w:cs="楷体_GB2312"/>
          <w:sz w:val="32"/>
          <w:szCs w:val="32"/>
          <w:highlight w:val="none"/>
          <w:lang w:val="en-US" w:eastAsia="zh"/>
        </w:rPr>
      </w:pPr>
      <w:r>
        <w:rPr>
          <w:rFonts w:hint="eastAsia" w:ascii="Times New Roman" w:hAnsi="Times New Roman" w:eastAsia="楷体_GB2312" w:cs="楷体_GB2312"/>
          <w:sz w:val="32"/>
          <w:szCs w:val="32"/>
          <w:highlight w:val="none"/>
          <w:lang w:val="en-US" w:eastAsia="zh"/>
        </w:rPr>
        <w:t>（</w:t>
      </w:r>
      <w:r>
        <w:rPr>
          <w:rFonts w:hint="eastAsia" w:ascii="Times New Roman" w:hAnsi="Times New Roman" w:eastAsia="楷体_GB2312" w:cs="楷体_GB2312"/>
          <w:sz w:val="32"/>
          <w:szCs w:val="32"/>
          <w:highlight w:val="none"/>
          <w:lang w:val="en-US" w:eastAsia="zh-CN"/>
        </w:rPr>
        <w:t>一</w:t>
      </w:r>
      <w:r>
        <w:rPr>
          <w:rFonts w:hint="eastAsia" w:ascii="Times New Roman" w:hAnsi="Times New Roman" w:eastAsia="楷体_GB2312" w:cs="楷体_GB2312"/>
          <w:sz w:val="32"/>
          <w:szCs w:val="32"/>
          <w:highlight w:val="none"/>
          <w:lang w:val="en-US" w:eastAsia="zh"/>
        </w:rPr>
        <w:t>）</w:t>
      </w:r>
      <w:r>
        <w:rPr>
          <w:rFonts w:hint="eastAsia" w:ascii="Times New Roman" w:hAnsi="Times New Roman" w:eastAsia="楷体_GB2312" w:cs="楷体_GB2312"/>
          <w:sz w:val="32"/>
          <w:szCs w:val="32"/>
          <w:highlight w:val="none"/>
          <w:lang w:val="en-US" w:eastAsia="zh-CN"/>
        </w:rPr>
        <w:t>直连方式</w:t>
      </w:r>
      <w:r>
        <w:rPr>
          <w:rFonts w:hint="eastAsia" w:ascii="Times New Roman" w:hAnsi="Times New Roman" w:eastAsia="楷体_GB2312" w:cs="楷体_GB2312"/>
          <w:sz w:val="32"/>
          <w:szCs w:val="32"/>
          <w:highlight w:val="none"/>
          <w:lang w:val="en-US" w:eastAsia="zh"/>
        </w:rPr>
        <w:t>。</w:t>
      </w:r>
      <w:r>
        <w:rPr>
          <w:rFonts w:hint="eastAsia" w:ascii="Times New Roman" w:hAnsi="Times New Roman" w:eastAsia="仿宋_GB2312" w:cs="仿宋_GB2312"/>
          <w:sz w:val="32"/>
          <w:szCs w:val="32"/>
          <w:highlight w:val="none"/>
          <w:lang w:val="en-US" w:eastAsia="zh-CN"/>
        </w:rPr>
        <w:t>项目</w:t>
      </w:r>
      <w:r>
        <w:rPr>
          <w:rFonts w:hint="eastAsia" w:ascii="Times New Roman" w:hAnsi="Times New Roman" w:eastAsia="仿宋_GB2312" w:cs="仿宋_GB2312"/>
          <w:sz w:val="32"/>
          <w:szCs w:val="32"/>
          <w:highlight w:val="none"/>
          <w:lang w:val="en-US" w:eastAsia="zh"/>
        </w:rPr>
        <w:t>按照是否接入公共电网分为</w:t>
      </w:r>
      <w:r>
        <w:rPr>
          <w:rFonts w:hint="eastAsia" w:ascii="Times New Roman" w:hAnsi="Times New Roman" w:eastAsia="仿宋_GB2312" w:cs="仿宋_GB2312"/>
          <w:sz w:val="32"/>
          <w:szCs w:val="32"/>
          <w:highlight w:val="none"/>
          <w:lang w:val="en-US" w:eastAsia="zh-CN"/>
        </w:rPr>
        <w:t>并网型和离网型</w:t>
      </w:r>
      <w:r>
        <w:rPr>
          <w:rFonts w:hint="eastAsia" w:ascii="Times New Roman" w:hAnsi="Times New Roman" w:eastAsia="仿宋_GB2312" w:cs="仿宋_GB2312"/>
          <w:sz w:val="32"/>
          <w:szCs w:val="32"/>
          <w:highlight w:val="none"/>
          <w:lang w:val="en-US" w:eastAsia="zh"/>
        </w:rPr>
        <w:t>两类</w:t>
      </w:r>
      <w:r>
        <w:rPr>
          <w:rFonts w:hint="eastAsia" w:ascii="Times New Roman" w:hAnsi="Times New Roman" w:eastAsia="仿宋_GB2312" w:cs="仿宋_GB2312"/>
          <w:sz w:val="32"/>
          <w:szCs w:val="32"/>
          <w:highlight w:val="none"/>
          <w:lang w:val="en-US" w:eastAsia="zh-CN"/>
        </w:rPr>
        <w:t>。</w:t>
      </w:r>
      <w:r>
        <w:rPr>
          <w:rFonts w:hint="eastAsia" w:ascii="Times New Roman" w:hAnsi="Times New Roman" w:eastAsia="仿宋_GB2312" w:cs="仿宋_GB2312"/>
          <w:b w:val="0"/>
          <w:bCs w:val="0"/>
          <w:sz w:val="32"/>
          <w:szCs w:val="32"/>
          <w:highlight w:val="none"/>
          <w:lang w:val="en-US" w:eastAsia="zh"/>
        </w:rPr>
        <w:t>并网型项目</w:t>
      </w:r>
      <w:r>
        <w:rPr>
          <w:rFonts w:hint="eastAsia" w:ascii="Times New Roman" w:hAnsi="Times New Roman" w:eastAsia="仿宋_GB2312" w:cs="仿宋_GB2312"/>
          <w:sz w:val="32"/>
          <w:szCs w:val="32"/>
          <w:highlight w:val="none"/>
          <w:lang w:val="en-US" w:eastAsia="zh"/>
        </w:rPr>
        <w:t>整体接入公共电网，与</w:t>
      </w:r>
      <w:r>
        <w:rPr>
          <w:rFonts w:hint="eastAsia" w:ascii="Times New Roman" w:hAnsi="Times New Roman" w:eastAsia="仿宋_GB2312" w:cs="仿宋_GB2312"/>
          <w:sz w:val="32"/>
          <w:szCs w:val="32"/>
          <w:highlight w:val="none"/>
          <w:lang w:val="en-US" w:eastAsia="zh-CN"/>
        </w:rPr>
        <w:t>公共电网</w:t>
      </w:r>
      <w:r>
        <w:rPr>
          <w:rFonts w:hint="eastAsia" w:ascii="Times New Roman" w:hAnsi="Times New Roman" w:eastAsia="仿宋_GB2312" w:cs="仿宋_GB2312"/>
          <w:sz w:val="32"/>
          <w:szCs w:val="32"/>
          <w:highlight w:val="none"/>
          <w:lang w:val="en-US" w:eastAsia="zh"/>
        </w:rPr>
        <w:t>形成清晰的物理界面与责任界面，电源应接入</w:t>
      </w:r>
      <w:r>
        <w:rPr>
          <w:rFonts w:hint="eastAsia" w:ascii="Times New Roman" w:hAnsi="Times New Roman" w:eastAsia="仿宋_GB2312" w:cs="仿宋_GB2312"/>
          <w:sz w:val="32"/>
          <w:szCs w:val="32"/>
          <w:highlight w:val="none"/>
          <w:lang w:val="en-US" w:eastAsia="zh-CN"/>
        </w:rPr>
        <w:t>项目</w:t>
      </w:r>
      <w:r>
        <w:rPr>
          <w:rFonts w:hint="eastAsia" w:ascii="Times New Roman" w:hAnsi="Times New Roman" w:eastAsia="仿宋_GB2312" w:cs="仿宋_GB2312"/>
          <w:sz w:val="32"/>
          <w:szCs w:val="32"/>
          <w:highlight w:val="none"/>
          <w:lang w:val="en-US" w:eastAsia="zh"/>
        </w:rPr>
        <w:t>内部；</w:t>
      </w:r>
      <w:r>
        <w:rPr>
          <w:rFonts w:hint="eastAsia" w:ascii="Times New Roman" w:hAnsi="Times New Roman" w:eastAsia="仿宋_GB2312" w:cs="仿宋_GB2312"/>
          <w:b w:val="0"/>
          <w:bCs w:val="0"/>
          <w:sz w:val="32"/>
          <w:szCs w:val="32"/>
          <w:highlight w:val="none"/>
          <w:lang w:val="en-US" w:eastAsia="zh"/>
        </w:rPr>
        <w:t>离网型项目</w:t>
      </w:r>
      <w:r>
        <w:rPr>
          <w:rFonts w:hint="eastAsia" w:ascii="Times New Roman" w:hAnsi="Times New Roman" w:eastAsia="仿宋_GB2312" w:cs="仿宋_GB2312"/>
          <w:sz w:val="32"/>
          <w:szCs w:val="32"/>
          <w:highlight w:val="none"/>
          <w:lang w:val="en-US" w:eastAsia="zh"/>
        </w:rPr>
        <w:t>与</w:t>
      </w:r>
      <w:r>
        <w:rPr>
          <w:rFonts w:hint="eastAsia" w:ascii="Times New Roman" w:hAnsi="Times New Roman" w:eastAsia="仿宋_GB2312" w:cs="仿宋_GB2312"/>
          <w:sz w:val="32"/>
          <w:szCs w:val="32"/>
          <w:highlight w:val="none"/>
          <w:lang w:val="en-US" w:eastAsia="zh-CN"/>
        </w:rPr>
        <w:t>公共电网</w:t>
      </w:r>
      <w:r>
        <w:rPr>
          <w:rFonts w:hint="eastAsia" w:ascii="Times New Roman" w:hAnsi="Times New Roman" w:eastAsia="仿宋_GB2312" w:cs="仿宋_GB2312"/>
          <w:sz w:val="32"/>
          <w:szCs w:val="32"/>
          <w:highlight w:val="none"/>
          <w:lang w:val="en-US" w:eastAsia="zh"/>
        </w:rPr>
        <w:t>无电气连接</w:t>
      </w:r>
      <w:r>
        <w:rPr>
          <w:rFonts w:hint="eastAsia" w:ascii="Times New Roman" w:hAnsi="Times New Roman" w:eastAsia="仿宋_GB2312" w:cs="仿宋_GB2312"/>
          <w:sz w:val="32"/>
          <w:szCs w:val="32"/>
          <w:highlight w:val="none"/>
          <w:lang w:val="en-US" w:eastAsia="zh-CN"/>
        </w:rPr>
        <w:t>、</w:t>
      </w:r>
      <w:r>
        <w:rPr>
          <w:rFonts w:hint="eastAsia" w:ascii="Times New Roman" w:hAnsi="Times New Roman" w:eastAsia="仿宋_GB2312" w:cs="仿宋_GB2312"/>
          <w:sz w:val="32"/>
          <w:szCs w:val="32"/>
          <w:highlight w:val="none"/>
          <w:lang w:eastAsia="zh"/>
        </w:rPr>
        <w:t>不发生电能交换</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
        </w:rPr>
        <w:t>电源、</w:t>
      </w:r>
      <w:r>
        <w:rPr>
          <w:rFonts w:hint="eastAsia" w:ascii="Times New Roman" w:hAnsi="Times New Roman" w:eastAsia="仿宋_GB2312" w:cs="仿宋_GB2312"/>
          <w:b w:val="0"/>
          <w:bCs w:val="0"/>
          <w:sz w:val="32"/>
          <w:szCs w:val="32"/>
          <w:highlight w:val="none"/>
          <w:lang w:val="en-US" w:eastAsia="zh"/>
        </w:rPr>
        <w:t>线路、变电设施和用户均</w:t>
      </w:r>
      <w:r>
        <w:rPr>
          <w:rFonts w:hint="eastAsia" w:ascii="Times New Roman" w:hAnsi="Times New Roman" w:eastAsia="仿宋_GB2312" w:cs="仿宋_GB2312"/>
          <w:sz w:val="32"/>
          <w:szCs w:val="32"/>
          <w:highlight w:val="none"/>
          <w:lang w:val="en-US" w:eastAsia="zh"/>
        </w:rPr>
        <w:t>独立于</w:t>
      </w:r>
      <w:r>
        <w:rPr>
          <w:rFonts w:hint="eastAsia" w:ascii="Times New Roman" w:hAnsi="Times New Roman" w:eastAsia="仿宋_GB2312" w:cs="仿宋_GB2312"/>
          <w:sz w:val="32"/>
          <w:szCs w:val="32"/>
          <w:highlight w:val="none"/>
          <w:lang w:val="en-US" w:eastAsia="zh-CN"/>
        </w:rPr>
        <w:t>公共电网</w:t>
      </w:r>
      <w:r>
        <w:rPr>
          <w:rFonts w:hint="eastAsia" w:ascii="Times New Roman" w:hAnsi="Times New Roman" w:eastAsia="仿宋_GB2312" w:cs="仿宋_GB2312"/>
          <w:sz w:val="32"/>
          <w:szCs w:val="32"/>
          <w:highlight w:val="none"/>
          <w:lang w:val="en-US" w:eastAsia="zh"/>
        </w:rPr>
        <w:t>运行。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楷体_GB2312" w:cs="楷体_GB2312"/>
          <w:sz w:val="32"/>
          <w:szCs w:val="32"/>
          <w:highlight w:val="none"/>
          <w:lang w:val="en-US" w:eastAsia="zh"/>
        </w:rPr>
      </w:pPr>
      <w:r>
        <w:rPr>
          <w:rFonts w:hint="eastAsia" w:ascii="Times New Roman" w:hAnsi="Times New Roman" w:eastAsia="楷体_GB2312" w:cs="楷体_GB2312"/>
          <w:sz w:val="32"/>
          <w:szCs w:val="32"/>
          <w:highlight w:val="none"/>
          <w:lang w:eastAsia="zh"/>
        </w:rPr>
        <w:t>（</w:t>
      </w:r>
      <w:r>
        <w:rPr>
          <w:rFonts w:hint="eastAsia" w:ascii="Times New Roman" w:hAnsi="Times New Roman" w:eastAsia="楷体_GB2312" w:cs="楷体_GB2312"/>
          <w:sz w:val="32"/>
          <w:szCs w:val="32"/>
          <w:highlight w:val="none"/>
          <w:lang w:eastAsia="zh-CN"/>
        </w:rPr>
        <w:t>二</w:t>
      </w:r>
      <w:r>
        <w:rPr>
          <w:rFonts w:hint="eastAsia" w:ascii="Times New Roman" w:hAnsi="Times New Roman" w:eastAsia="楷体_GB2312" w:cs="楷体_GB2312"/>
          <w:sz w:val="32"/>
          <w:szCs w:val="32"/>
          <w:highlight w:val="none"/>
          <w:lang w:eastAsia="zh"/>
        </w:rPr>
        <w:t>）</w:t>
      </w:r>
      <w:r>
        <w:rPr>
          <w:rFonts w:hint="eastAsia" w:ascii="Times New Roman" w:hAnsi="Times New Roman" w:eastAsia="楷体_GB2312" w:cs="楷体_GB2312"/>
          <w:sz w:val="32"/>
          <w:szCs w:val="32"/>
          <w:highlight w:val="none"/>
          <w:lang w:val="en-US" w:eastAsia="zh-CN"/>
        </w:rPr>
        <w:t>项目</w:t>
      </w:r>
      <w:r>
        <w:rPr>
          <w:rFonts w:hint="eastAsia" w:ascii="Times New Roman" w:hAnsi="Times New Roman" w:eastAsia="楷体_GB2312" w:cs="楷体_GB2312"/>
          <w:sz w:val="32"/>
          <w:szCs w:val="32"/>
          <w:highlight w:val="none"/>
          <w:lang w:val="en-US" w:eastAsia="zh"/>
        </w:rPr>
        <w:t>电源。</w:t>
      </w:r>
      <w:r>
        <w:rPr>
          <w:rFonts w:hint="eastAsia" w:ascii="Times New Roman" w:hAnsi="Times New Roman" w:eastAsia="仿宋_GB2312" w:cs="仿宋_GB2312"/>
          <w:sz w:val="32"/>
          <w:szCs w:val="32"/>
          <w:highlight w:val="none"/>
          <w:lang w:val="en-US" w:eastAsia="zh-CN"/>
        </w:rPr>
        <w:t>开展绿电直连的新能源发电项目，应符合国家和省有关开发建设要求。重点支持尚未开展电网接入工程建设的新能源发电项目，以及因新能源消纳受限等原因无法并网的新能源发电项目，在履行相应变更手续后开展绿电直连。分布式光伏可通过集中汇流方式参与绿电直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楷体_GB2312" w:cs="楷体_GB2312"/>
          <w:sz w:val="32"/>
          <w:szCs w:val="32"/>
          <w:highlight w:val="none"/>
          <w:lang w:val="en-US" w:eastAsia="zh"/>
        </w:rPr>
        <w:t>（</w:t>
      </w:r>
      <w:r>
        <w:rPr>
          <w:rFonts w:hint="eastAsia" w:ascii="Times New Roman" w:hAnsi="Times New Roman" w:eastAsia="楷体_GB2312" w:cs="楷体_GB2312"/>
          <w:sz w:val="32"/>
          <w:szCs w:val="32"/>
          <w:highlight w:val="none"/>
          <w:lang w:val="en-US" w:eastAsia="zh-CN"/>
        </w:rPr>
        <w:t>三</w:t>
      </w:r>
      <w:r>
        <w:rPr>
          <w:rFonts w:hint="eastAsia" w:ascii="Times New Roman" w:hAnsi="Times New Roman" w:eastAsia="楷体_GB2312" w:cs="楷体_GB2312"/>
          <w:sz w:val="32"/>
          <w:szCs w:val="32"/>
          <w:highlight w:val="none"/>
          <w:lang w:val="en-US" w:eastAsia="zh"/>
        </w:rPr>
        <w:t>）</w:t>
      </w:r>
      <w:r>
        <w:rPr>
          <w:rFonts w:hint="eastAsia" w:ascii="Times New Roman" w:hAnsi="Times New Roman" w:eastAsia="楷体_GB2312" w:cs="楷体_GB2312"/>
          <w:sz w:val="32"/>
          <w:szCs w:val="32"/>
          <w:highlight w:val="none"/>
          <w:lang w:val="en-US" w:eastAsia="zh-CN"/>
        </w:rPr>
        <w:t>项目</w:t>
      </w:r>
      <w:r>
        <w:rPr>
          <w:rFonts w:hint="eastAsia" w:ascii="Times New Roman" w:hAnsi="Times New Roman" w:eastAsia="楷体_GB2312" w:cs="楷体_GB2312"/>
          <w:sz w:val="32"/>
          <w:szCs w:val="32"/>
          <w:highlight w:val="none"/>
          <w:lang w:val="en-US" w:eastAsia="zh"/>
        </w:rPr>
        <w:t>负荷。</w:t>
      </w:r>
      <w:r>
        <w:rPr>
          <w:rFonts w:hint="eastAsia" w:ascii="Times New Roman" w:hAnsi="Times New Roman" w:eastAsia="仿宋_GB2312" w:cs="仿宋_GB2312"/>
          <w:sz w:val="32"/>
          <w:szCs w:val="32"/>
          <w:highlight w:val="none"/>
        </w:rPr>
        <w:t>新建负荷可配套建设新能源电源组成</w:t>
      </w:r>
      <w:r>
        <w:rPr>
          <w:rFonts w:hint="eastAsia" w:ascii="Times New Roman" w:hAnsi="Times New Roman" w:eastAsia="仿宋_GB2312" w:cs="仿宋_GB2312"/>
          <w:sz w:val="32"/>
          <w:szCs w:val="32"/>
          <w:highlight w:val="none"/>
          <w:lang w:val="en-US" w:eastAsia="zh-CN"/>
        </w:rPr>
        <w:t>单用户或多用户</w:t>
      </w:r>
      <w:r>
        <w:rPr>
          <w:rFonts w:hint="eastAsia" w:ascii="Times New Roman" w:hAnsi="Times New Roman" w:eastAsia="仿宋_GB2312" w:cs="仿宋_GB2312"/>
          <w:sz w:val="32"/>
          <w:szCs w:val="32"/>
          <w:highlight w:val="none"/>
        </w:rPr>
        <w:t>绿电直连项目。存量负荷可在已有燃煤燃气自备电厂足额清缴可再生能源发展基金的前提下开展绿电直连，通过压减自备电厂出力，实现清洁能源替代</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单用户绿电直连项目可吸纳其他新建负荷，同时配套扩建新能源电源组成多用户绿电直连；工业园区、零碳园区、增量配电网等全部或部分负荷可就近接入新能源，组成多用户绿电直连项目。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val="en-US" w:eastAsia="zh-CN"/>
        </w:rPr>
        <w:t>鼓励</w:t>
      </w:r>
      <w:r>
        <w:rPr>
          <w:rFonts w:hint="eastAsia" w:ascii="Times New Roman" w:hAnsi="Times New Roman" w:eastAsia="仿宋_GB2312" w:cs="仿宋_GB2312"/>
          <w:sz w:val="32"/>
          <w:szCs w:val="32"/>
          <w:highlight w:val="none"/>
        </w:rPr>
        <w:t>有绿色电力消费需求的用户利用周边新能源资源探索开展绿电直连</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重点支持有降碳需求的出口外向型企业及其上下游企业、国家和省零碳园区试点项目以及算力设施、绿色氢氨醇等新兴产业和未来产业开展绿电直连。项目应满足国家产业政策要求，严禁通过绿电直连开展违法违规活动</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二、规划投资与建设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楷体_GB2312" w:cs="楷体_GB2312"/>
          <w:sz w:val="32"/>
          <w:szCs w:val="32"/>
          <w:highlight w:val="none"/>
          <w:lang w:val="en-US" w:eastAsia="zh"/>
        </w:rPr>
        <w:t>（</w:t>
      </w:r>
      <w:r>
        <w:rPr>
          <w:rFonts w:hint="eastAsia" w:ascii="Times New Roman" w:hAnsi="Times New Roman" w:eastAsia="楷体_GB2312" w:cs="楷体_GB2312"/>
          <w:sz w:val="32"/>
          <w:szCs w:val="32"/>
          <w:highlight w:val="none"/>
          <w:lang w:val="en-US" w:eastAsia="zh-CN"/>
        </w:rPr>
        <w:t>四</w:t>
      </w:r>
      <w:r>
        <w:rPr>
          <w:rFonts w:hint="eastAsia" w:ascii="Times New Roman" w:hAnsi="Times New Roman" w:eastAsia="楷体_GB2312" w:cs="楷体_GB2312"/>
          <w:sz w:val="32"/>
          <w:szCs w:val="32"/>
          <w:highlight w:val="none"/>
          <w:lang w:val="en-US" w:eastAsia="zh"/>
        </w:rPr>
        <w:t>）</w:t>
      </w:r>
      <w:r>
        <w:rPr>
          <w:rFonts w:hint="eastAsia" w:ascii="Times New Roman" w:hAnsi="Times New Roman" w:eastAsia="楷体_GB2312" w:cs="楷体_GB2312"/>
          <w:sz w:val="32"/>
          <w:szCs w:val="32"/>
          <w:highlight w:val="none"/>
          <w:lang w:eastAsia="zh"/>
        </w:rPr>
        <w:t>项目建设方案编制要求</w:t>
      </w:r>
      <w:r>
        <w:rPr>
          <w:rFonts w:hint="eastAsia" w:ascii="Times New Roman" w:hAnsi="Times New Roman" w:eastAsia="楷体_GB2312" w:cs="楷体_GB2312"/>
          <w:sz w:val="32"/>
          <w:szCs w:val="32"/>
          <w:highlight w:val="none"/>
          <w:lang w:val="en-US" w:eastAsia="zh"/>
        </w:rPr>
        <w:t>。</w:t>
      </w:r>
      <w:r>
        <w:rPr>
          <w:rFonts w:hint="eastAsia" w:ascii="Times New Roman" w:hAnsi="Times New Roman" w:eastAsia="仿宋_GB2312" w:cs="仿宋_GB2312"/>
          <w:sz w:val="32"/>
          <w:szCs w:val="32"/>
          <w:highlight w:val="none"/>
          <w:lang w:val="en-US" w:eastAsia="zh-CN"/>
        </w:rPr>
        <w:t>绿电直连项目应编制包含电源、负荷、线路、接入系统的整体化方案，</w:t>
      </w:r>
      <w:r>
        <w:rPr>
          <w:rFonts w:hint="eastAsia" w:ascii="Times New Roman" w:hAnsi="Times New Roman" w:eastAsia="仿宋_GB2312" w:cs="仿宋_GB2312"/>
          <w:kern w:val="2"/>
          <w:sz w:val="32"/>
          <w:szCs w:val="32"/>
          <w:highlight w:val="none"/>
        </w:rPr>
        <w:t>对资源条件、消纳能力、接入条件、安全可靠性和经济可行性进行分析</w:t>
      </w:r>
      <w:r>
        <w:rPr>
          <w:rFonts w:hint="eastAsia" w:ascii="Times New Roman" w:hAnsi="Times New Roman" w:eastAsia="仿宋_GB2312" w:cs="仿宋_GB2312"/>
          <w:kern w:val="2"/>
          <w:sz w:val="32"/>
          <w:szCs w:val="32"/>
          <w:highlight w:val="none"/>
          <w:lang w:eastAsia="zh-CN"/>
        </w:rPr>
        <w:t>，</w:t>
      </w:r>
      <w:r>
        <w:rPr>
          <w:rFonts w:hint="eastAsia" w:ascii="Times New Roman" w:hAnsi="Times New Roman" w:eastAsia="仿宋_GB2312" w:cs="仿宋_GB2312"/>
          <w:kern w:val="2"/>
          <w:sz w:val="32"/>
          <w:szCs w:val="32"/>
          <w:highlight w:val="none"/>
          <w:lang w:val="en-US" w:eastAsia="zh-CN"/>
        </w:rPr>
        <w:t>同时</w:t>
      </w:r>
      <w:r>
        <w:rPr>
          <w:rFonts w:hint="eastAsia" w:ascii="Times New Roman" w:hAnsi="Times New Roman" w:eastAsia="仿宋_GB2312" w:cs="仿宋_GB2312"/>
          <w:sz w:val="32"/>
          <w:szCs w:val="32"/>
          <w:highlight w:val="none"/>
          <w:lang w:val="en-US" w:eastAsia="zh-CN"/>
        </w:rPr>
        <w:t>评估系统风险、用电安全及电能质量等指标，提出具体技术保障措施。</w:t>
      </w:r>
      <w:r>
        <w:rPr>
          <w:rFonts w:hint="eastAsia" w:ascii="Times New Roman" w:hAnsi="Times New Roman" w:eastAsia="仿宋_GB2312" w:cs="仿宋_GB2312"/>
          <w:sz w:val="32"/>
          <w:szCs w:val="32"/>
          <w:highlight w:val="none"/>
        </w:rPr>
        <w:t>项目结合源荷分布以及经济性合理确定直连线路长度。直连线路应统筹考虑重要线路廊道预留保护，尽量减少线路交叉跨越，确需跨越的应做好安全措施。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楷体_GB2312" w:cs="楷体_GB2312"/>
          <w:sz w:val="32"/>
          <w:szCs w:val="32"/>
          <w:highlight w:val="none"/>
          <w:lang w:val="en-US" w:eastAsia="zh"/>
        </w:rPr>
        <w:t>（</w:t>
      </w:r>
      <w:r>
        <w:rPr>
          <w:rFonts w:hint="eastAsia" w:ascii="Times New Roman" w:hAnsi="Times New Roman" w:eastAsia="楷体_GB2312" w:cs="楷体_GB2312"/>
          <w:sz w:val="32"/>
          <w:szCs w:val="32"/>
          <w:highlight w:val="none"/>
          <w:lang w:val="en-US" w:eastAsia="zh-CN"/>
        </w:rPr>
        <w:t>五</w:t>
      </w:r>
      <w:r>
        <w:rPr>
          <w:rFonts w:hint="eastAsia" w:ascii="Times New Roman" w:hAnsi="Times New Roman" w:eastAsia="楷体_GB2312" w:cs="楷体_GB2312"/>
          <w:sz w:val="32"/>
          <w:szCs w:val="32"/>
          <w:highlight w:val="none"/>
          <w:lang w:val="en-US" w:eastAsia="zh"/>
        </w:rPr>
        <w:t>）</w:t>
      </w:r>
      <w:r>
        <w:rPr>
          <w:rFonts w:hint="eastAsia" w:ascii="Times New Roman" w:hAnsi="Times New Roman" w:eastAsia="楷体_GB2312" w:cs="楷体_GB2312"/>
          <w:sz w:val="32"/>
          <w:szCs w:val="32"/>
          <w:highlight w:val="none"/>
          <w:lang w:val="en-US" w:eastAsia="zh-CN"/>
        </w:rPr>
        <w:t>源荷匹配。</w:t>
      </w:r>
      <w:r>
        <w:rPr>
          <w:rFonts w:hint="eastAsia" w:ascii="Times New Roman" w:hAnsi="Times New Roman" w:eastAsia="仿宋_GB2312" w:cs="仿宋_GB2312"/>
          <w:sz w:val="32"/>
          <w:szCs w:val="32"/>
          <w:highlight w:val="none"/>
          <w:lang w:val="en-US" w:eastAsia="zh-CN"/>
        </w:rPr>
        <w:t>并网型项目应按照“以荷定源”原则合理规划新能源装机规模，年自发自用电量占总可用发电量的比例不低于60%，占总用电量的比例不低于30%（2030年前不低于35%），上网电量占总可用发电量的比例上限不超过20%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楷体_GB2312" w:cs="楷体_GB2312"/>
          <w:sz w:val="32"/>
          <w:szCs w:val="32"/>
          <w:highlight w:val="none"/>
          <w:lang w:eastAsia="zh"/>
        </w:rPr>
        <w:t>（</w:t>
      </w:r>
      <w:r>
        <w:rPr>
          <w:rFonts w:hint="eastAsia" w:ascii="Times New Roman" w:hAnsi="Times New Roman" w:eastAsia="楷体_GB2312" w:cs="楷体_GB2312"/>
          <w:sz w:val="32"/>
          <w:szCs w:val="32"/>
          <w:highlight w:val="none"/>
          <w:lang w:val="en-US" w:eastAsia="zh-CN"/>
        </w:rPr>
        <w:t>六</w:t>
      </w:r>
      <w:r>
        <w:rPr>
          <w:rFonts w:hint="eastAsia" w:ascii="Times New Roman" w:hAnsi="Times New Roman" w:eastAsia="楷体_GB2312" w:cs="楷体_GB2312"/>
          <w:sz w:val="32"/>
          <w:szCs w:val="32"/>
          <w:highlight w:val="none"/>
          <w:lang w:eastAsia="zh"/>
        </w:rPr>
        <w:t>）</w:t>
      </w:r>
      <w:r>
        <w:rPr>
          <w:rFonts w:hint="eastAsia" w:ascii="Times New Roman" w:hAnsi="Times New Roman" w:eastAsia="楷体_GB2312" w:cs="楷体_GB2312"/>
          <w:sz w:val="32"/>
          <w:szCs w:val="32"/>
          <w:highlight w:val="none"/>
          <w:lang w:val="en-US" w:eastAsia="zh-CN"/>
        </w:rPr>
        <w:t>投资模式</w:t>
      </w:r>
      <w:r>
        <w:rPr>
          <w:rFonts w:hint="eastAsia" w:ascii="Times New Roman" w:hAnsi="Times New Roman" w:eastAsia="仿宋_GB2312" w:cs="仿宋_GB2312"/>
          <w:sz w:val="32"/>
          <w:szCs w:val="32"/>
          <w:highlight w:val="none"/>
          <w:lang w:eastAsia="zh"/>
        </w:rPr>
        <w:t>。项目</w:t>
      </w:r>
      <w:r>
        <w:rPr>
          <w:rFonts w:hint="eastAsia" w:ascii="Times New Roman" w:hAnsi="Times New Roman" w:eastAsia="仿宋_GB2312" w:cs="仿宋_GB2312"/>
          <w:sz w:val="32"/>
          <w:szCs w:val="32"/>
          <w:highlight w:val="none"/>
          <w:lang w:val="en-US" w:eastAsia="zh"/>
        </w:rPr>
        <w:t>应明确</w:t>
      </w:r>
      <w:r>
        <w:rPr>
          <w:rFonts w:hint="eastAsia" w:ascii="Times New Roman" w:hAnsi="Times New Roman" w:eastAsia="仿宋_GB2312" w:cs="仿宋_GB2312"/>
          <w:sz w:val="32"/>
          <w:szCs w:val="32"/>
          <w:highlight w:val="none"/>
          <w:lang w:eastAsia="zh"/>
        </w:rPr>
        <w:t>具备法人资格的独立主体作为主责单位，单用户</w:t>
      </w:r>
      <w:r>
        <w:rPr>
          <w:rFonts w:hint="eastAsia" w:ascii="Times New Roman" w:hAnsi="Times New Roman" w:eastAsia="仿宋_GB2312" w:cs="仿宋_GB2312"/>
          <w:sz w:val="32"/>
          <w:szCs w:val="32"/>
          <w:highlight w:val="none"/>
          <w:lang w:eastAsia="zh-CN"/>
        </w:rPr>
        <w:t>或</w:t>
      </w:r>
      <w:r>
        <w:rPr>
          <w:rFonts w:hint="eastAsia" w:ascii="Times New Roman" w:hAnsi="Times New Roman" w:eastAsia="仿宋_GB2312" w:cs="仿宋_GB2312"/>
          <w:sz w:val="32"/>
          <w:szCs w:val="32"/>
          <w:highlight w:val="none"/>
          <w:lang w:val="en-US" w:eastAsia="zh-CN"/>
        </w:rPr>
        <w:t>多用户项目</w:t>
      </w:r>
      <w:r>
        <w:rPr>
          <w:rFonts w:hint="eastAsia" w:ascii="Times New Roman" w:hAnsi="Times New Roman" w:eastAsia="仿宋_GB2312" w:cs="仿宋_GB2312"/>
          <w:sz w:val="32"/>
          <w:szCs w:val="32"/>
          <w:highlight w:val="none"/>
          <w:lang w:eastAsia="zh"/>
        </w:rPr>
        <w:t>原则上由电源方与负荷方合资组建，也可以由电源方或负荷方一方单独投资组建</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eastAsia="zh"/>
        </w:rPr>
        <w:t>园区模式的项目主责单位可由园区管委会或第三方机构（不含运营输电业务的公共电网企业）投资组建</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
        </w:rPr>
        <w:t>项目连接线路、变电设施、储</w:t>
      </w:r>
      <w:r>
        <w:rPr>
          <w:rFonts w:hint="eastAsia" w:ascii="Times New Roman" w:hAnsi="Times New Roman" w:eastAsia="仿宋_GB2312" w:cs="仿宋_GB2312"/>
          <w:sz w:val="32"/>
          <w:szCs w:val="32"/>
          <w:highlight w:val="none"/>
          <w:lang w:eastAsia="zh-CN"/>
        </w:rPr>
        <w:t>能及运营平台原则上由项目主责单位投资建设。项目主责单位应充分利用存量电力设施，在不影响与公共电网责任界面划分的前提下，可通过租赁等方式协商使用其他主体的存量电力设施；协商不成的，项目主责单位可自行建设相关设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eastAsia="zh"/>
        </w:rPr>
      </w:pPr>
      <w:r>
        <w:rPr>
          <w:rFonts w:hint="eastAsia" w:ascii="Times New Roman" w:hAnsi="Times New Roman" w:eastAsia="仿宋_GB2312" w:cs="仿宋_GB2312"/>
          <w:sz w:val="32"/>
          <w:szCs w:val="32"/>
          <w:highlight w:val="none"/>
          <w:lang w:eastAsia="zh-CN"/>
        </w:rPr>
        <w:t>项目</w:t>
      </w:r>
      <w:r>
        <w:rPr>
          <w:rFonts w:hint="eastAsia" w:ascii="Times New Roman" w:hAnsi="Times New Roman" w:eastAsia="仿宋_GB2312" w:cs="仿宋_GB2312"/>
          <w:sz w:val="32"/>
          <w:szCs w:val="32"/>
          <w:highlight w:val="none"/>
          <w:lang w:eastAsia="zh"/>
        </w:rPr>
        <w:t>主责单位与电源、负荷等内部主体应就产权划分、运行维护、平衡责任、内部费用标准和结算、违约责任等事项签订协议。项目电源和负荷主体不是同一投资主体的，应在申报前签订多年期购电协议或合同能源管理协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楷体_GB2312" w:cs="楷体_GB2312"/>
          <w:sz w:val="32"/>
          <w:szCs w:val="32"/>
          <w:highlight w:val="none"/>
          <w:lang w:eastAsia="zh"/>
        </w:rPr>
        <w:t>（</w:t>
      </w:r>
      <w:r>
        <w:rPr>
          <w:rFonts w:hint="eastAsia" w:ascii="Times New Roman" w:hAnsi="Times New Roman" w:eastAsia="楷体_GB2312" w:cs="楷体_GB2312"/>
          <w:sz w:val="32"/>
          <w:szCs w:val="32"/>
          <w:highlight w:val="none"/>
          <w:lang w:val="en-US" w:eastAsia="zh-CN"/>
        </w:rPr>
        <w:t>七</w:t>
      </w:r>
      <w:r>
        <w:rPr>
          <w:rFonts w:hint="eastAsia" w:ascii="Times New Roman" w:hAnsi="Times New Roman" w:eastAsia="楷体_GB2312" w:cs="楷体_GB2312"/>
          <w:sz w:val="32"/>
          <w:szCs w:val="32"/>
          <w:highlight w:val="none"/>
          <w:lang w:eastAsia="zh"/>
        </w:rPr>
        <w:t>）</w:t>
      </w:r>
      <w:r>
        <w:rPr>
          <w:rFonts w:hint="eastAsia" w:ascii="Times New Roman" w:hAnsi="Times New Roman" w:eastAsia="楷体_GB2312" w:cs="楷体_GB2312"/>
          <w:sz w:val="32"/>
          <w:szCs w:val="32"/>
          <w:highlight w:val="none"/>
          <w:lang w:val="en-US" w:eastAsia="zh-CN"/>
        </w:rPr>
        <w:t>项目建设。</w:t>
      </w:r>
      <w:r>
        <w:rPr>
          <w:rFonts w:hint="eastAsia" w:ascii="Times New Roman" w:hAnsi="Times New Roman" w:eastAsia="仿宋_GB2312" w:cs="仿宋_GB2312"/>
          <w:sz w:val="32"/>
          <w:szCs w:val="32"/>
          <w:highlight w:val="none"/>
          <w:lang w:val="en-US" w:eastAsia="zh-CN"/>
        </w:rPr>
        <w:t>项目纳入全省绿电直连项目清单（含在运、在建以及年度开工建设项目）后方可开展建设。</w:t>
      </w:r>
      <w:r>
        <w:rPr>
          <w:rFonts w:hint="eastAsia" w:ascii="Times New Roman" w:hAnsi="Times New Roman" w:eastAsia="仿宋_GB2312" w:cs="仿宋_GB2312"/>
          <w:sz w:val="32"/>
          <w:szCs w:val="32"/>
          <w:highlight w:val="none"/>
        </w:rPr>
        <w:t>纳入</w:t>
      </w:r>
      <w:r>
        <w:rPr>
          <w:rFonts w:hint="eastAsia" w:ascii="Times New Roman" w:hAnsi="Times New Roman" w:eastAsia="仿宋_GB2312" w:cs="仿宋_GB2312"/>
          <w:sz w:val="32"/>
          <w:szCs w:val="32"/>
          <w:highlight w:val="none"/>
          <w:lang w:val="en-US" w:eastAsia="zh-CN"/>
        </w:rPr>
        <w:t>全省绿电直连项目清单</w:t>
      </w:r>
      <w:r>
        <w:rPr>
          <w:rFonts w:hint="eastAsia" w:ascii="Times New Roman" w:hAnsi="Times New Roman" w:eastAsia="仿宋_GB2312" w:cs="仿宋_GB2312"/>
          <w:sz w:val="32"/>
          <w:szCs w:val="32"/>
          <w:highlight w:val="none"/>
        </w:rPr>
        <w:t>的项目</w:t>
      </w:r>
      <w:r>
        <w:rPr>
          <w:rFonts w:hint="eastAsia" w:ascii="Times New Roman" w:hAnsi="Times New Roman" w:eastAsia="仿宋_GB2312" w:cs="仿宋_GB2312"/>
          <w:sz w:val="32"/>
          <w:szCs w:val="32"/>
          <w:highlight w:val="none"/>
          <w:lang w:val="en-US" w:eastAsia="zh-CN"/>
        </w:rPr>
        <w:t>所包含的</w:t>
      </w:r>
      <w:r>
        <w:rPr>
          <w:rFonts w:hint="eastAsia" w:ascii="Times New Roman" w:hAnsi="Times New Roman" w:eastAsia="仿宋_GB2312" w:cs="仿宋_GB2312"/>
          <w:sz w:val="32"/>
          <w:szCs w:val="32"/>
          <w:highlight w:val="none"/>
        </w:rPr>
        <w:t>电源、线路、</w:t>
      </w:r>
      <w:r>
        <w:rPr>
          <w:rFonts w:hint="eastAsia" w:ascii="Times New Roman" w:hAnsi="Times New Roman" w:eastAsia="仿宋_GB2312" w:cs="仿宋_GB2312"/>
          <w:sz w:val="32"/>
          <w:szCs w:val="32"/>
          <w:highlight w:val="none"/>
          <w:lang w:val="en-US" w:eastAsia="zh-CN"/>
        </w:rPr>
        <w:t>储能等，</w:t>
      </w:r>
      <w:r>
        <w:rPr>
          <w:rFonts w:hint="eastAsia" w:ascii="Times New Roman" w:hAnsi="Times New Roman" w:eastAsia="仿宋_GB2312" w:cs="仿宋_GB2312"/>
          <w:sz w:val="32"/>
          <w:szCs w:val="32"/>
          <w:highlight w:val="none"/>
        </w:rPr>
        <w:t>按照国家和省有关</w:t>
      </w:r>
      <w:r>
        <w:rPr>
          <w:rFonts w:hint="eastAsia" w:ascii="Times New Roman" w:hAnsi="Times New Roman" w:eastAsia="仿宋_GB2312" w:cs="仿宋_GB2312"/>
          <w:sz w:val="32"/>
          <w:szCs w:val="32"/>
          <w:highlight w:val="none"/>
          <w:lang w:val="en-US" w:eastAsia="zh-CN"/>
        </w:rPr>
        <w:t>规定分别履行核准（备案、审批）手续后建设。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项目应按照整体化方案统一建设、同步投产。若单个负荷分年达产或多个负荷无法同期投产，应结合负荷投产时序科学匹配新能源、配套储能等设施建设规模。不得擅自变更建设内容。项目建设过程中，若方案因特殊原因发生变更，由主责单位向省能源局提出申请，重新开展方案评审。项目建成后应及时组织竣工验收，并按规定报送相关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rPr>
        <w:t>在</w:t>
      </w:r>
      <w:r>
        <w:rPr>
          <w:rFonts w:hint="eastAsia" w:ascii="Times New Roman" w:hAnsi="Times New Roman" w:eastAsia="仿宋_GB2312" w:cs="仿宋_GB2312"/>
          <w:sz w:val="32"/>
          <w:szCs w:val="32"/>
          <w:highlight w:val="none"/>
          <w:lang w:eastAsia="zh-CN"/>
        </w:rPr>
        <w:t>省能源局</w:t>
      </w:r>
      <w:r>
        <w:rPr>
          <w:rFonts w:hint="eastAsia" w:ascii="Times New Roman" w:hAnsi="Times New Roman" w:eastAsia="仿宋_GB2312" w:cs="仿宋_GB2312"/>
          <w:sz w:val="32"/>
          <w:szCs w:val="32"/>
          <w:highlight w:val="none"/>
          <w:lang w:val="en-US" w:eastAsia="zh-CN"/>
        </w:rPr>
        <w:t>明确的</w:t>
      </w:r>
      <w:r>
        <w:rPr>
          <w:rFonts w:hint="eastAsia" w:ascii="Times New Roman" w:hAnsi="Times New Roman" w:eastAsia="仿宋_GB2312" w:cs="仿宋_GB2312"/>
          <w:sz w:val="32"/>
          <w:szCs w:val="32"/>
          <w:highlight w:val="none"/>
        </w:rPr>
        <w:t>新能源消纳困难时段，项目</w:t>
      </w:r>
      <w:r>
        <w:rPr>
          <w:rFonts w:hint="eastAsia" w:ascii="Times New Roman" w:hAnsi="Times New Roman" w:eastAsia="仿宋_GB2312" w:cs="仿宋_GB2312"/>
          <w:sz w:val="32"/>
          <w:szCs w:val="32"/>
          <w:highlight w:val="none"/>
          <w:lang w:eastAsia="zh-CN"/>
        </w:rPr>
        <w:t>不得</w:t>
      </w:r>
      <w:r>
        <w:rPr>
          <w:rFonts w:hint="eastAsia" w:ascii="Times New Roman" w:hAnsi="Times New Roman" w:eastAsia="仿宋_GB2312" w:cs="仿宋_GB2312"/>
          <w:sz w:val="32"/>
          <w:szCs w:val="32"/>
          <w:highlight w:val="none"/>
        </w:rPr>
        <w:t>向公共电网反送电</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项目建成后接网容量发生变更的，应重新履行系统接入评估等手续。离网型项目应全部自发自用。绿电直连</w:t>
      </w:r>
      <w:r>
        <w:rPr>
          <w:rFonts w:hint="eastAsia" w:ascii="Times New Roman" w:hAnsi="Times New Roman" w:eastAsia="仿宋_GB2312" w:cs="仿宋_GB2312"/>
          <w:sz w:val="32"/>
          <w:szCs w:val="32"/>
          <w:highlight w:val="none"/>
        </w:rPr>
        <w:t>项目及其内部资源豁免电力业务许可，另有</w:t>
      </w:r>
      <w:r>
        <w:rPr>
          <w:rFonts w:hint="eastAsia" w:ascii="Times New Roman" w:hAnsi="Times New Roman" w:eastAsia="仿宋_GB2312" w:cs="仿宋_GB2312"/>
          <w:sz w:val="32"/>
          <w:szCs w:val="32"/>
          <w:highlight w:val="none"/>
          <w:lang w:eastAsia="zh-CN"/>
        </w:rPr>
        <w:t>国家</w:t>
      </w:r>
      <w:r>
        <w:rPr>
          <w:rFonts w:hint="eastAsia" w:ascii="Times New Roman" w:hAnsi="Times New Roman" w:eastAsia="仿宋_GB2312" w:cs="仿宋_GB2312"/>
          <w:sz w:val="32"/>
          <w:szCs w:val="32"/>
          <w:highlight w:val="none"/>
        </w:rPr>
        <w:t>规定除外</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三、运行管理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highlight w:val="none"/>
        </w:rPr>
      </w:pPr>
      <w:r>
        <w:rPr>
          <w:rFonts w:hint="eastAsia" w:ascii="Times New Roman" w:hAnsi="Times New Roman" w:eastAsia="楷体_GB2312" w:cs="楷体_GB2312"/>
          <w:sz w:val="32"/>
          <w:szCs w:val="32"/>
          <w:highlight w:val="none"/>
          <w:lang w:eastAsia="zh"/>
        </w:rPr>
        <w:t>（</w:t>
      </w:r>
      <w:r>
        <w:rPr>
          <w:rFonts w:hint="eastAsia" w:ascii="Times New Roman" w:hAnsi="Times New Roman" w:eastAsia="楷体_GB2312" w:cs="楷体_GB2312"/>
          <w:sz w:val="32"/>
          <w:szCs w:val="32"/>
          <w:highlight w:val="none"/>
          <w:lang w:val="en-US" w:eastAsia="zh-CN"/>
        </w:rPr>
        <w:t>八</w:t>
      </w:r>
      <w:r>
        <w:rPr>
          <w:rFonts w:hint="eastAsia" w:ascii="Times New Roman" w:hAnsi="Times New Roman" w:eastAsia="楷体_GB2312" w:cs="楷体_GB2312"/>
          <w:sz w:val="32"/>
          <w:szCs w:val="32"/>
          <w:highlight w:val="none"/>
          <w:lang w:eastAsia="zh"/>
        </w:rPr>
        <w:t>）做好电网接入和安全管理</w:t>
      </w:r>
      <w:r>
        <w:rPr>
          <w:rFonts w:hint="eastAsia" w:ascii="Times New Roman" w:hAnsi="Times New Roman" w:eastAsia="楷体_GB2312" w:cs="楷体_GB2312"/>
          <w:sz w:val="32"/>
          <w:szCs w:val="32"/>
          <w:highlight w:val="none"/>
          <w:lang w:eastAsia="zh-CN"/>
        </w:rPr>
        <w:t>。</w:t>
      </w:r>
      <w:r>
        <w:rPr>
          <w:rFonts w:hint="eastAsia" w:ascii="Times New Roman" w:hAnsi="Times New Roman" w:eastAsia="仿宋_GB2312" w:cs="仿宋_GB2312"/>
          <w:sz w:val="32"/>
          <w:szCs w:val="32"/>
          <w:highlight w:val="none"/>
        </w:rPr>
        <w:t>项目应按标准配置继电保护、安全稳定控制装置、通信设备等二次系统。项目主责单位应强化运行管理能力，协同优化项目内部电源、储能等资源，做好应急场景下项目内部用电调节和有序供应的预案</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附件1-2</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，明确相关安全和经济责任，并报送</w:t>
      </w:r>
      <w:r>
        <w:rPr>
          <w:rFonts w:hint="eastAsia" w:ascii="Times New Roman" w:hAnsi="Times New Roman" w:eastAsia="仿宋_GB2312" w:cs="仿宋_GB2312"/>
          <w:sz w:val="32"/>
          <w:szCs w:val="32"/>
          <w:highlight w:val="none"/>
          <w:lang w:eastAsia="zh-CN"/>
        </w:rPr>
        <w:t>省能源局</w:t>
      </w:r>
      <w:r>
        <w:rPr>
          <w:rFonts w:hint="eastAsia" w:ascii="Times New Roman" w:hAnsi="Times New Roman" w:eastAsia="仿宋_GB2312" w:cs="仿宋_GB2312"/>
          <w:sz w:val="32"/>
          <w:szCs w:val="32"/>
          <w:highlight w:val="none"/>
          <w:lang w:val="en-US" w:eastAsia="zh-CN"/>
        </w:rPr>
        <w:t>和市（州）能源主管部门</w:t>
      </w:r>
      <w:r>
        <w:rPr>
          <w:rFonts w:hint="eastAsia" w:ascii="Times New Roman" w:hAnsi="Times New Roman" w:eastAsia="仿宋_GB2312" w:cs="仿宋_GB2312"/>
          <w:sz w:val="32"/>
          <w:szCs w:val="32"/>
          <w:highlight w:val="none"/>
        </w:rPr>
        <w:t>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rPr>
        <w:t>并网型项目根据接入的电压等级和容量规模，分级分类配置监测与控制设施，做好公共电网交换功率监测，安装网络安全监测、隔离装置等网络安全设施，内部各设施涉网性能应满足相关标准，并按照有关规定向电力调度机构提供相关资料。并网型项目按照为系统提供服务的类别接入新型电力负荷管理系统或电力调度自动化系统，项目整体及内部电源按照接入电压等级和容量规模接受相应调度机构统一管理，调度机构在项目现货市场出清结果基础上下达调度计划；作为整体参与电力现货市场的并网型项目，项目主责单位按照调度计划负责管理内部平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rPr>
      </w:pPr>
      <w:r>
        <w:rPr>
          <w:rFonts w:hint="eastAsia" w:ascii="Times New Roman" w:hAnsi="Times New Roman" w:eastAsia="楷体_GB2312" w:cs="楷体_GB2312"/>
          <w:sz w:val="32"/>
          <w:szCs w:val="32"/>
          <w:highlight w:val="none"/>
          <w:lang w:eastAsia="zh"/>
        </w:rPr>
        <w:t>（</w:t>
      </w:r>
      <w:r>
        <w:rPr>
          <w:rFonts w:hint="eastAsia" w:ascii="Times New Roman" w:hAnsi="Times New Roman" w:eastAsia="楷体_GB2312" w:cs="楷体_GB2312"/>
          <w:sz w:val="32"/>
          <w:szCs w:val="32"/>
          <w:highlight w:val="none"/>
          <w:lang w:val="en-US" w:eastAsia="zh-CN"/>
        </w:rPr>
        <w:t>九</w:t>
      </w:r>
      <w:r>
        <w:rPr>
          <w:rFonts w:hint="eastAsia" w:ascii="Times New Roman" w:hAnsi="Times New Roman" w:eastAsia="楷体_GB2312" w:cs="楷体_GB2312"/>
          <w:sz w:val="32"/>
          <w:szCs w:val="32"/>
          <w:highlight w:val="none"/>
          <w:lang w:eastAsia="zh"/>
        </w:rPr>
        <w:t>）鼓励提升系统友好性</w:t>
      </w:r>
      <w:r>
        <w:rPr>
          <w:rFonts w:hint="eastAsia" w:ascii="Times New Roman" w:hAnsi="Times New Roman" w:eastAsia="楷体_GB2312" w:cs="楷体_GB2312"/>
          <w:sz w:val="32"/>
          <w:szCs w:val="32"/>
          <w:highlight w:val="none"/>
          <w:lang w:eastAsia="zh-CN"/>
        </w:rPr>
        <w:t>。</w:t>
      </w:r>
      <w:r>
        <w:rPr>
          <w:rFonts w:hint="eastAsia" w:ascii="Times New Roman" w:hAnsi="Times New Roman" w:eastAsia="仿宋_GB2312" w:cs="仿宋_GB2312"/>
          <w:sz w:val="32"/>
          <w:szCs w:val="32"/>
          <w:highlight w:val="none"/>
        </w:rPr>
        <w:t>并网型项目应通过合理配置储能、提升集控管理能力、挖掘负荷灵活调节潜力、开展多能互补等方式，充分提升项目灵活性调节能力，尽可能减小系统调节压力</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项目</w:t>
      </w:r>
      <w:r>
        <w:rPr>
          <w:rFonts w:hint="eastAsia" w:ascii="Times New Roman" w:hAnsi="Times New Roman" w:eastAsia="仿宋_GB2312" w:cs="仿宋_GB2312"/>
          <w:sz w:val="32"/>
          <w:szCs w:val="32"/>
          <w:highlight w:val="none"/>
        </w:rPr>
        <w:t>应合理确定</w:t>
      </w:r>
      <w:r>
        <w:rPr>
          <w:rFonts w:hint="eastAsia" w:ascii="Times New Roman" w:hAnsi="Times New Roman" w:eastAsia="仿宋_GB2312" w:cs="仿宋_GB2312"/>
          <w:sz w:val="32"/>
          <w:szCs w:val="32"/>
          <w:highlight w:val="none"/>
          <w:lang w:val="en-US" w:eastAsia="zh-CN"/>
        </w:rPr>
        <w:t>接入公共电网容量、</w:t>
      </w:r>
      <w:r>
        <w:rPr>
          <w:rFonts w:hint="eastAsia" w:ascii="Times New Roman" w:hAnsi="Times New Roman" w:eastAsia="仿宋_GB2312" w:cs="仿宋_GB2312"/>
          <w:sz w:val="32"/>
          <w:szCs w:val="32"/>
          <w:highlight w:val="none"/>
        </w:rPr>
        <w:t>最大负荷峰谷差率，与公共电网交换功率的电力峰谷差率不高于方案规划值</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项目应按照有关管理要求和技术标准做好无功和电能质量管理。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楷体_GB2312" w:cs="楷体_GB2312"/>
          <w:sz w:val="32"/>
          <w:szCs w:val="32"/>
          <w:highlight w:val="none"/>
          <w:lang w:eastAsia="zh"/>
        </w:rPr>
        <w:t>（</w:t>
      </w:r>
      <w:r>
        <w:rPr>
          <w:rFonts w:hint="eastAsia" w:ascii="Times New Roman" w:hAnsi="Times New Roman" w:eastAsia="楷体_GB2312" w:cs="楷体_GB2312"/>
          <w:sz w:val="32"/>
          <w:szCs w:val="32"/>
          <w:highlight w:val="none"/>
          <w:lang w:val="en-US" w:eastAsia="zh-CN"/>
        </w:rPr>
        <w:t>十</w:t>
      </w:r>
      <w:r>
        <w:rPr>
          <w:rFonts w:hint="eastAsia" w:ascii="Times New Roman" w:hAnsi="Times New Roman" w:eastAsia="楷体_GB2312" w:cs="楷体_GB2312"/>
          <w:sz w:val="32"/>
          <w:szCs w:val="32"/>
          <w:highlight w:val="none"/>
          <w:lang w:eastAsia="zh"/>
        </w:rPr>
        <w:t>）整体有序参与电力市场</w:t>
      </w:r>
      <w:r>
        <w:rPr>
          <w:rFonts w:hint="eastAsia" w:ascii="Times New Roman" w:hAnsi="Times New Roman" w:eastAsia="楷体_GB2312" w:cs="楷体_GB2312"/>
          <w:sz w:val="32"/>
          <w:szCs w:val="32"/>
          <w:highlight w:val="none"/>
          <w:lang w:val="en-US" w:eastAsia="zh-CN"/>
        </w:rPr>
        <w:t>。</w:t>
      </w:r>
      <w:r>
        <w:rPr>
          <w:rFonts w:hint="eastAsia" w:ascii="Times New Roman" w:hAnsi="Times New Roman" w:eastAsia="仿宋_GB2312" w:cs="仿宋_GB2312"/>
          <w:sz w:val="32"/>
          <w:szCs w:val="32"/>
          <w:highlight w:val="none"/>
          <w:lang w:eastAsia="zh-CN"/>
        </w:rPr>
        <w:t>并网型项目应在投产前根据电力市场规则等有关规定以新型经营主体身份进行市场注册，内部主体也可分别注册。项目原则上应作为整体参与电力市场交易，由项目主责单位统一申报，根据市场交易结果安排生产，并按照与公共电网的交换功率进行计量，按照所在节点现货市场价格进行交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项目负荷不得由电网企业代理购电。参与绿电直连的新能源项目，其</w:t>
      </w:r>
      <w:r>
        <w:rPr>
          <w:rFonts w:hint="eastAsia" w:ascii="Times New Roman" w:hAnsi="Times New Roman" w:eastAsia="仿宋_GB2312" w:cs="仿宋_GB2312"/>
          <w:sz w:val="32"/>
          <w:szCs w:val="32"/>
          <w:highlight w:val="none"/>
          <w:lang w:eastAsia="zh-CN"/>
        </w:rPr>
        <w:t>新能源发电量</w:t>
      </w:r>
      <w:r>
        <w:rPr>
          <w:rFonts w:hint="eastAsia" w:ascii="Times New Roman" w:hAnsi="Times New Roman" w:eastAsia="仿宋_GB2312" w:cs="仿宋_GB2312"/>
          <w:sz w:val="32"/>
          <w:szCs w:val="32"/>
          <w:highlight w:val="none"/>
          <w:lang w:val="en-US" w:eastAsia="zh-CN"/>
        </w:rPr>
        <w:t>不纳入可持续发展价格结算机制保障，不参与机制电价竞价；纳入机制电价的电源项目（含已纳入机制电价但项目实际未投产），转为绿电直连后视为自愿退出机制电价，不再纳入机制电价执行范围。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楷体_GB2312" w:cs="楷体_GB2312"/>
          <w:sz w:val="32"/>
          <w:szCs w:val="32"/>
          <w:highlight w:val="none"/>
          <w:lang w:eastAsia="zh"/>
        </w:rPr>
        <w:t>（十一）新能源就近消纳要求</w:t>
      </w:r>
      <w:r>
        <w:rPr>
          <w:rFonts w:hint="eastAsia" w:ascii="Times New Roman" w:hAnsi="Times New Roman" w:eastAsia="楷体_GB2312" w:cs="楷体_GB2312"/>
          <w:sz w:val="32"/>
          <w:szCs w:val="32"/>
          <w:highlight w:val="none"/>
          <w:lang w:eastAsia="zh-CN"/>
        </w:rPr>
        <w:t>。</w:t>
      </w:r>
      <w:r>
        <w:rPr>
          <w:rFonts w:hint="eastAsia" w:ascii="Times New Roman" w:hAnsi="Times New Roman" w:eastAsia="仿宋_GB2312" w:cs="仿宋_GB2312"/>
          <w:sz w:val="32"/>
          <w:szCs w:val="32"/>
          <w:highlight w:val="none"/>
          <w:lang w:eastAsia="zh-CN"/>
        </w:rPr>
        <w:t>绿电直连项目按照电源负荷适配原则，设定年上网电量上限，</w:t>
      </w:r>
      <w:r>
        <w:rPr>
          <w:rFonts w:hint="eastAsia" w:ascii="Times New Roman" w:hAnsi="Times New Roman" w:eastAsia="仿宋_GB2312" w:cs="仿宋_GB2312"/>
          <w:sz w:val="32"/>
          <w:szCs w:val="32"/>
          <w:highlight w:val="none"/>
        </w:rPr>
        <w:t>电网企业每月电费结算时核算项目年累计上网电量，如超过限值，则结算月次月起至当年年底停止该项目向电网上送电量；如因项目自身原因确需上送电量，按照现货市场出清价格下限结算；如因电力系统安全等原因需上送电量，按照</w:t>
      </w:r>
      <w:r>
        <w:rPr>
          <w:rFonts w:hint="eastAsia" w:ascii="Times New Roman" w:hAnsi="Times New Roman" w:eastAsia="仿宋_GB2312" w:cs="仿宋_GB2312"/>
          <w:sz w:val="32"/>
          <w:szCs w:val="32"/>
          <w:highlight w:val="none"/>
          <w:lang w:val="en-US" w:eastAsia="zh-CN"/>
        </w:rPr>
        <w:t>现行</w:t>
      </w:r>
      <w:r>
        <w:rPr>
          <w:rFonts w:hint="eastAsia" w:ascii="Times New Roman" w:hAnsi="Times New Roman" w:eastAsia="仿宋_GB2312" w:cs="仿宋_GB2312"/>
          <w:sz w:val="32"/>
          <w:szCs w:val="32"/>
          <w:highlight w:val="none"/>
        </w:rPr>
        <w:t>电力市场规则进行结算，相关安全预警由省级电力调度机构发布。绿电直连项目新能源弃电不纳入</w:t>
      </w:r>
      <w:r>
        <w:rPr>
          <w:rFonts w:hint="eastAsia" w:ascii="Times New Roman" w:hAnsi="Times New Roman" w:eastAsia="仿宋_GB2312" w:cs="仿宋_GB2312"/>
          <w:sz w:val="32"/>
          <w:szCs w:val="32"/>
          <w:highlight w:val="none"/>
          <w:lang w:val="en-US" w:eastAsia="zh-CN"/>
        </w:rPr>
        <w:t>全省</w:t>
      </w:r>
      <w:r>
        <w:rPr>
          <w:rFonts w:hint="eastAsia" w:ascii="Times New Roman" w:hAnsi="Times New Roman" w:eastAsia="仿宋_GB2312" w:cs="仿宋_GB2312"/>
          <w:sz w:val="32"/>
          <w:szCs w:val="32"/>
          <w:highlight w:val="none"/>
        </w:rPr>
        <w:t>新能源利用率统计。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四、组织实施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绿电直连项目建设采取企业申报、市级初审、省级评审的方式组织开展。省能源局通过清单管理，做好绿电直连项目的统筹规划</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各市</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州）</w:t>
      </w:r>
      <w:r>
        <w:rPr>
          <w:rFonts w:hint="eastAsia" w:ascii="Times New Roman" w:hAnsi="Times New Roman" w:eastAsia="仿宋_GB2312" w:cs="仿宋_GB2312"/>
          <w:sz w:val="32"/>
          <w:szCs w:val="32"/>
          <w:highlight w:val="none"/>
        </w:rPr>
        <w:t>能源主管部门协调做好项目要素支撑保障，并做好项目建设跟踪评估。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b w:val="0"/>
          <w:bCs w:val="0"/>
          <w:sz w:val="32"/>
          <w:szCs w:val="32"/>
          <w:highlight w:val="none"/>
          <w:lang w:val="en-US" w:eastAsia="zh-CN"/>
        </w:rPr>
      </w:pPr>
      <w:r>
        <w:rPr>
          <w:rFonts w:hint="eastAsia" w:ascii="Times New Roman" w:hAnsi="Times New Roman" w:eastAsia="楷体_GB2312" w:cs="楷体_GB2312"/>
          <w:sz w:val="32"/>
          <w:szCs w:val="32"/>
          <w:highlight w:val="none"/>
          <w:lang w:val="en-US" w:eastAsia="zh-CN"/>
        </w:rPr>
        <w:t>（十二）</w:t>
      </w:r>
      <w:r>
        <w:rPr>
          <w:rFonts w:hint="eastAsia" w:ascii="Times New Roman" w:hAnsi="Times New Roman" w:eastAsia="楷体_GB2312" w:cs="楷体_GB2312"/>
          <w:sz w:val="32"/>
          <w:szCs w:val="32"/>
          <w:highlight w:val="none"/>
        </w:rPr>
        <w:t>申报评审流程</w:t>
      </w:r>
      <w:r>
        <w:rPr>
          <w:rFonts w:hint="eastAsia" w:ascii="Times New Roman" w:hAnsi="Times New Roman" w:eastAsia="楷体_GB2312" w:cs="楷体_GB2312"/>
          <w:b w:val="0"/>
          <w:bCs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b/>
          <w:bCs/>
          <w:sz w:val="32"/>
          <w:szCs w:val="32"/>
          <w:highlight w:val="none"/>
          <w:lang w:val="en-US" w:eastAsia="zh-CN"/>
        </w:rPr>
        <w:t>1.企业申报。</w:t>
      </w:r>
      <w:r>
        <w:rPr>
          <w:rFonts w:hint="eastAsia" w:ascii="Times New Roman" w:hAnsi="Times New Roman" w:eastAsia="仿宋_GB2312" w:cs="仿宋_GB2312"/>
          <w:sz w:val="32"/>
          <w:szCs w:val="32"/>
          <w:highlight w:val="none"/>
          <w:lang w:val="en-US" w:eastAsia="zh-CN"/>
        </w:rPr>
        <w:t>主责单位根据项目成熟度牵头编制项目实施方案（附件1），提出建设目标和建设内容，明确建设时序，并向负荷所在市（州）能源主管部门提出申请（附件2、3）。</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b/>
          <w:bCs/>
          <w:sz w:val="32"/>
          <w:szCs w:val="32"/>
          <w:highlight w:val="none"/>
          <w:lang w:val="en-US" w:eastAsia="zh-CN"/>
        </w:rPr>
        <w:t>2.市州初审。</w:t>
      </w:r>
      <w:r>
        <w:rPr>
          <w:rFonts w:hint="eastAsia" w:ascii="Times New Roman" w:hAnsi="Times New Roman" w:eastAsia="仿宋_GB2312" w:cs="仿宋_GB2312"/>
          <w:sz w:val="32"/>
          <w:szCs w:val="32"/>
          <w:highlight w:val="none"/>
          <w:lang w:val="en-US" w:eastAsia="zh-CN"/>
        </w:rPr>
        <w:t>市（州）能源主管部门会同</w:t>
      </w:r>
      <w:r>
        <w:rPr>
          <w:rFonts w:hint="eastAsia" w:ascii="Times New Roman" w:hAnsi="Times New Roman" w:eastAsia="仿宋_GB2312" w:cs="仿宋_GB2312"/>
          <w:sz w:val="32"/>
          <w:szCs w:val="32"/>
          <w:highlight w:val="none"/>
        </w:rPr>
        <w:t>工信、住建、自然资源、生态环境、水利、林业等有关主管部门</w:t>
      </w:r>
      <w:r>
        <w:rPr>
          <w:rFonts w:hint="eastAsia" w:ascii="Times New Roman" w:hAnsi="Times New Roman" w:eastAsia="仿宋_GB2312" w:cs="仿宋_GB2312"/>
          <w:sz w:val="32"/>
          <w:szCs w:val="32"/>
          <w:highlight w:val="none"/>
          <w:lang w:val="en-US" w:eastAsia="zh-CN"/>
        </w:rPr>
        <w:t>组织相关单位</w:t>
      </w:r>
      <w:r>
        <w:rPr>
          <w:rFonts w:hint="eastAsia" w:ascii="Times New Roman" w:hAnsi="Times New Roman" w:eastAsia="仿宋_GB2312" w:cs="仿宋_GB2312"/>
          <w:sz w:val="32"/>
          <w:szCs w:val="32"/>
          <w:highlight w:val="none"/>
        </w:rPr>
        <w:t>对项目情况进行初审</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跨市州项目申报时应附相关市州支持性意见</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对项目实施方案及支撑性材料的真实性、合规性、完整性进行审查，对项目建设规模、实施条件、消纳能力、接入电网可行性等进行评估。通过初审的项目以正式文件向省能源局报送项目实施方案（含初审意见）。</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b/>
          <w:bCs/>
          <w:sz w:val="32"/>
          <w:szCs w:val="32"/>
          <w:highlight w:val="none"/>
          <w:lang w:val="en-US" w:eastAsia="zh-CN"/>
        </w:rPr>
        <w:t>3.省级评审。</w:t>
      </w:r>
      <w:r>
        <w:rPr>
          <w:rFonts w:hint="eastAsia" w:ascii="Times New Roman" w:hAnsi="Times New Roman" w:eastAsia="仿宋_GB2312" w:cs="仿宋_GB2312"/>
          <w:sz w:val="32"/>
          <w:szCs w:val="32"/>
          <w:highlight w:val="none"/>
          <w:lang w:val="en-US" w:eastAsia="zh-CN"/>
        </w:rPr>
        <w:t>项目方案按照“成熟一个、推进一个”原则开展评审。其中，接入电压等级不超过220千伏的绿电直连项目，由省能源局组织第三方专业机构开展评审，充分征求国家能源局贵州监管办公室、省发展改革委等相关单位意见。</w:t>
      </w:r>
      <w:r>
        <w:rPr>
          <w:rFonts w:hint="eastAsia" w:ascii="Times New Roman" w:hAnsi="Times New Roman" w:eastAsia="仿宋_GB2312" w:cs="仿宋_GB2312"/>
          <w:sz w:val="32"/>
          <w:szCs w:val="32"/>
          <w:highlight w:val="none"/>
        </w:rPr>
        <w:t>确有必要接入220千伏的</w:t>
      </w:r>
      <w:r>
        <w:rPr>
          <w:rFonts w:hint="eastAsia" w:ascii="Times New Roman" w:hAnsi="Times New Roman" w:eastAsia="仿宋_GB2312" w:cs="仿宋_GB2312"/>
          <w:sz w:val="32"/>
          <w:szCs w:val="32"/>
          <w:highlight w:val="none"/>
          <w:lang w:val="en-US" w:eastAsia="zh-CN"/>
        </w:rPr>
        <w:t>绿电直连项目</w:t>
      </w:r>
      <w:r>
        <w:rPr>
          <w:rFonts w:hint="eastAsia" w:ascii="Times New Roman" w:hAnsi="Times New Roman" w:eastAsia="仿宋_GB2312" w:cs="仿宋_GB2312"/>
          <w:sz w:val="32"/>
          <w:szCs w:val="32"/>
          <w:highlight w:val="none"/>
        </w:rPr>
        <w:t>，由省能源局会同</w:t>
      </w:r>
      <w:r>
        <w:rPr>
          <w:rFonts w:hint="eastAsia" w:ascii="Times New Roman" w:hAnsi="Times New Roman" w:eastAsia="仿宋_GB2312" w:cs="仿宋_GB2312"/>
          <w:sz w:val="32"/>
          <w:szCs w:val="32"/>
          <w:highlight w:val="none"/>
          <w:lang w:val="en-US" w:eastAsia="zh-CN"/>
        </w:rPr>
        <w:t>国家能源局贵州监管办公室</w:t>
      </w:r>
      <w:r>
        <w:rPr>
          <w:rFonts w:hint="eastAsia" w:ascii="Times New Roman" w:hAnsi="Times New Roman" w:eastAsia="仿宋_GB2312" w:cs="仿宋_GB2312"/>
          <w:sz w:val="32"/>
          <w:szCs w:val="32"/>
          <w:highlight w:val="none"/>
        </w:rPr>
        <w:t>组织</w:t>
      </w:r>
      <w:r>
        <w:rPr>
          <w:rFonts w:hint="eastAsia" w:ascii="Times New Roman" w:hAnsi="Times New Roman" w:eastAsia="仿宋_GB2312" w:cs="仿宋_GB2312"/>
          <w:sz w:val="32"/>
          <w:szCs w:val="32"/>
          <w:highlight w:val="none"/>
          <w:lang w:val="en-US" w:eastAsia="zh-CN"/>
        </w:rPr>
        <w:t>相关单位</w:t>
      </w:r>
      <w:r>
        <w:rPr>
          <w:rFonts w:hint="eastAsia" w:ascii="Times New Roman" w:hAnsi="Times New Roman" w:eastAsia="仿宋_GB2312" w:cs="仿宋_GB2312"/>
          <w:sz w:val="32"/>
          <w:szCs w:val="32"/>
          <w:highlight w:val="none"/>
        </w:rPr>
        <w:t>开展电力系统安全风险专项评估</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附件1-1</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多用户绿电直连项目应</w:t>
      </w:r>
      <w:r>
        <w:rPr>
          <w:rFonts w:hint="eastAsia" w:ascii="Times New Roman" w:hAnsi="Times New Roman" w:eastAsia="仿宋_GB2312" w:cs="仿宋_GB2312"/>
          <w:sz w:val="32"/>
          <w:szCs w:val="32"/>
          <w:highlight w:val="none"/>
        </w:rPr>
        <w:t>编制应急场景下项目内部用电调节和有序供应的预案（附件</w:t>
      </w:r>
      <w:r>
        <w:rPr>
          <w:rFonts w:hint="eastAsia" w:ascii="Times New Roman" w:hAnsi="Times New Roman" w:eastAsia="仿宋_GB2312" w:cs="仿宋_GB2312"/>
          <w:sz w:val="32"/>
          <w:szCs w:val="32"/>
          <w:highlight w:val="none"/>
          <w:lang w:val="en-US" w:eastAsia="zh-CN"/>
        </w:rPr>
        <w:t>1-2</w:t>
      </w:r>
      <w:r>
        <w:rPr>
          <w:rFonts w:hint="eastAsia" w:ascii="Times New Roman" w:hAnsi="Times New Roman" w:eastAsia="仿宋_GB2312" w:cs="仿宋_GB2312"/>
          <w:sz w:val="32"/>
          <w:szCs w:val="32"/>
          <w:highlight w:val="none"/>
        </w:rPr>
        <w:t>），明确相关安全和经济责任。评审通过后</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项目</w:t>
      </w:r>
      <w:r>
        <w:rPr>
          <w:rFonts w:hint="eastAsia" w:ascii="Times New Roman" w:hAnsi="Times New Roman" w:eastAsia="仿宋_GB2312" w:cs="仿宋_GB2312"/>
          <w:sz w:val="32"/>
          <w:szCs w:val="32"/>
          <w:highlight w:val="none"/>
        </w:rPr>
        <w:t>纳入全省绿电直连项目清单，并在省能源局门户网站公示公开</w:t>
      </w:r>
      <w:r>
        <w:rPr>
          <w:rFonts w:hint="eastAsia" w:ascii="Times New Roman" w:hAnsi="Times New Roman"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楷体_GB2312" w:cs="楷体_GB2312"/>
          <w:sz w:val="32"/>
          <w:szCs w:val="32"/>
          <w:highlight w:val="none"/>
          <w:lang w:val="en-US" w:eastAsia="zh-CN"/>
        </w:rPr>
        <w:t>（十三）</w:t>
      </w:r>
      <w:r>
        <w:rPr>
          <w:rFonts w:hint="eastAsia" w:ascii="Times New Roman" w:hAnsi="Times New Roman" w:eastAsia="楷体_GB2312" w:cs="楷体_GB2312"/>
          <w:sz w:val="32"/>
          <w:szCs w:val="32"/>
          <w:highlight w:val="none"/>
        </w:rPr>
        <w:t>监管评估要求</w:t>
      </w:r>
      <w:r>
        <w:rPr>
          <w:rFonts w:hint="eastAsia" w:ascii="Times New Roman" w:hAnsi="Times New Roman" w:eastAsia="楷体_GB2312" w:cs="楷体_GB2312"/>
          <w:b w:val="0"/>
          <w:bCs w:val="0"/>
          <w:sz w:val="32"/>
          <w:szCs w:val="32"/>
          <w:highlight w:val="none"/>
          <w:lang w:val="en-US" w:eastAsia="zh-CN"/>
        </w:rPr>
        <w:t>。</w:t>
      </w:r>
      <w:r>
        <w:rPr>
          <w:rFonts w:hint="eastAsia" w:ascii="Times New Roman" w:hAnsi="Times New Roman" w:eastAsia="仿宋_GB2312" w:cs="仿宋_GB2312"/>
          <w:sz w:val="32"/>
          <w:szCs w:val="32"/>
          <w:highlight w:val="none"/>
          <w:lang w:eastAsia="zh-CN"/>
        </w:rPr>
        <w:t>市（州）能源主管部门</w:t>
      </w:r>
      <w:r>
        <w:rPr>
          <w:rFonts w:hint="eastAsia" w:ascii="Times New Roman" w:hAnsi="Times New Roman" w:eastAsia="仿宋_GB2312" w:cs="仿宋_GB2312"/>
          <w:sz w:val="32"/>
          <w:szCs w:val="32"/>
          <w:highlight w:val="none"/>
          <w:lang w:val="en-US" w:eastAsia="zh-CN"/>
        </w:rPr>
        <w:t>组织有关单位建立跟踪指导和评估机制，对纳入</w:t>
      </w:r>
      <w:r>
        <w:rPr>
          <w:rFonts w:hint="eastAsia" w:ascii="Times New Roman" w:hAnsi="Times New Roman" w:eastAsia="仿宋_GB2312" w:cs="仿宋_GB2312"/>
          <w:sz w:val="32"/>
          <w:szCs w:val="32"/>
          <w:highlight w:val="none"/>
        </w:rPr>
        <w:t>全省绿电直连项目清单</w:t>
      </w:r>
      <w:r>
        <w:rPr>
          <w:rFonts w:hint="eastAsia" w:ascii="Times New Roman" w:hAnsi="Times New Roman" w:eastAsia="仿宋_GB2312" w:cs="仿宋_GB2312"/>
          <w:sz w:val="32"/>
          <w:szCs w:val="32"/>
          <w:highlight w:val="none"/>
          <w:lang w:val="en-US" w:eastAsia="zh-CN"/>
        </w:rPr>
        <w:t>的在建项目定期调度建设进度，每月15日前向省能源局报送项目推进情况；对在运项目定期进行</w:t>
      </w:r>
      <w:r>
        <w:rPr>
          <w:rFonts w:hint="eastAsia" w:ascii="Times New Roman" w:hAnsi="Times New Roman" w:eastAsia="仿宋_GB2312" w:cs="仿宋_GB2312"/>
          <w:sz w:val="32"/>
          <w:szCs w:val="32"/>
          <w:highlight w:val="none"/>
        </w:rPr>
        <w:t>监测</w:t>
      </w:r>
      <w:r>
        <w:rPr>
          <w:rFonts w:hint="eastAsia" w:ascii="Times New Roman" w:hAnsi="Times New Roman" w:eastAsia="仿宋_GB2312" w:cs="仿宋_GB2312"/>
          <w:sz w:val="32"/>
          <w:szCs w:val="32"/>
          <w:highlight w:val="none"/>
          <w:lang w:val="en-US" w:eastAsia="zh-CN"/>
        </w:rPr>
        <w:t>评估，每年1月底前向省能源局、国家能源局贵州监管办公室报送年度运行</w:t>
      </w:r>
      <w:r>
        <w:rPr>
          <w:rFonts w:hint="eastAsia" w:ascii="Times New Roman" w:hAnsi="Times New Roman" w:eastAsia="仿宋_GB2312" w:cs="仿宋_GB2312"/>
          <w:sz w:val="32"/>
          <w:szCs w:val="32"/>
          <w:highlight w:val="none"/>
        </w:rPr>
        <w:t>监测评估</w:t>
      </w:r>
      <w:r>
        <w:rPr>
          <w:rFonts w:hint="eastAsia" w:ascii="Times New Roman" w:hAnsi="Times New Roman" w:eastAsia="仿宋_GB2312" w:cs="仿宋_GB2312"/>
          <w:sz w:val="32"/>
          <w:szCs w:val="32"/>
          <w:highlight w:val="none"/>
          <w:lang w:val="en-US" w:eastAsia="zh-CN"/>
        </w:rPr>
        <w:t>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楷体_GB2312" w:cs="楷体_GB2312"/>
          <w:sz w:val="32"/>
          <w:szCs w:val="32"/>
          <w:highlight w:val="none"/>
          <w:lang w:val="en-US" w:eastAsia="zh-CN"/>
        </w:rPr>
        <w:t>（十四）调整退出机制</w:t>
      </w:r>
      <w:r>
        <w:rPr>
          <w:rFonts w:hint="eastAsia" w:ascii="Times New Roman" w:hAnsi="Times New Roman" w:eastAsia="楷体_GB2312" w:cs="楷体_GB2312"/>
          <w:b w:val="0"/>
          <w:bCs w:val="0"/>
          <w:sz w:val="32"/>
          <w:szCs w:val="32"/>
          <w:highlight w:val="none"/>
          <w:lang w:val="en-US" w:eastAsia="zh-CN"/>
        </w:rPr>
        <w:t>。</w:t>
      </w:r>
      <w:r>
        <w:rPr>
          <w:rFonts w:hint="eastAsia" w:ascii="Times New Roman" w:hAnsi="Times New Roman" w:eastAsia="仿宋_GB2312" w:cs="仿宋_GB2312"/>
          <w:sz w:val="32"/>
          <w:szCs w:val="32"/>
          <w:highlight w:val="none"/>
          <w:lang w:val="en-US" w:eastAsia="zh-CN"/>
        </w:rPr>
        <w:t>项目5年内累计3</w:t>
      </w:r>
      <w:r>
        <w:rPr>
          <w:rFonts w:hint="eastAsia" w:ascii="Times New Roman" w:hAnsi="Times New Roman" w:eastAsia="仿宋_GB2312" w:cs="仿宋_GB2312"/>
          <w:sz w:val="32"/>
          <w:szCs w:val="32"/>
          <w:highlight w:val="none"/>
        </w:rPr>
        <w:t>年运行指标</w:t>
      </w:r>
      <w:r>
        <w:rPr>
          <w:rFonts w:hint="eastAsia" w:ascii="Times New Roman" w:hAnsi="Times New Roman" w:eastAsia="仿宋_GB2312" w:cs="仿宋_GB2312"/>
          <w:sz w:val="32"/>
          <w:szCs w:val="32"/>
          <w:highlight w:val="none"/>
          <w:lang w:eastAsia="zh-CN"/>
        </w:rPr>
        <w:t>（项目新能源自发自用电量占总可用发电量比例、新能源年自发自用电量占总用电量的比例以及上网电量占总可用发电量的比例）</w:t>
      </w:r>
      <w:r>
        <w:rPr>
          <w:rFonts w:hint="eastAsia" w:ascii="Times New Roman" w:hAnsi="Times New Roman" w:eastAsia="仿宋_GB2312" w:cs="仿宋_GB2312"/>
          <w:sz w:val="32"/>
          <w:szCs w:val="32"/>
          <w:highlight w:val="none"/>
        </w:rPr>
        <w:t>不满足要求</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负荷企业停建</w:t>
      </w:r>
      <w:r>
        <w:rPr>
          <w:rFonts w:hint="eastAsia" w:ascii="Times New Roman" w:hAnsi="Times New Roman" w:eastAsia="仿宋_GB2312" w:cs="仿宋_GB2312"/>
          <w:sz w:val="32"/>
          <w:szCs w:val="32"/>
          <w:highlight w:val="none"/>
          <w:lang w:val="en-US" w:eastAsia="zh-CN"/>
        </w:rPr>
        <w:t>/</w:t>
      </w:r>
      <w:r>
        <w:rPr>
          <w:rFonts w:hint="eastAsia" w:ascii="Times New Roman" w:hAnsi="Times New Roman" w:eastAsia="仿宋_GB2312" w:cs="仿宋_GB2312"/>
          <w:sz w:val="32"/>
          <w:szCs w:val="32"/>
          <w:highlight w:val="none"/>
        </w:rPr>
        <w:t>停产</w:t>
      </w:r>
      <w:r>
        <w:rPr>
          <w:rFonts w:hint="eastAsia" w:ascii="Times New Roman" w:hAnsi="Times New Roman" w:eastAsia="仿宋_GB2312" w:cs="仿宋_GB2312"/>
          <w:sz w:val="32"/>
          <w:szCs w:val="32"/>
          <w:highlight w:val="none"/>
          <w:lang w:val="en-US" w:eastAsia="zh-CN"/>
        </w:rPr>
        <w:t>/</w:t>
      </w:r>
      <w:r>
        <w:rPr>
          <w:rFonts w:hint="eastAsia" w:ascii="Times New Roman" w:hAnsi="Times New Roman" w:eastAsia="仿宋_GB2312" w:cs="仿宋_GB2312"/>
          <w:sz w:val="32"/>
          <w:szCs w:val="32"/>
          <w:highlight w:val="none"/>
        </w:rPr>
        <w:t>搬迁</w:t>
      </w:r>
      <w:r>
        <w:rPr>
          <w:rFonts w:hint="eastAsia" w:ascii="Times New Roman" w:hAnsi="Times New Roman" w:eastAsia="仿宋_GB2312" w:cs="仿宋_GB2312"/>
          <w:sz w:val="32"/>
          <w:szCs w:val="32"/>
          <w:highlight w:val="none"/>
          <w:lang w:val="en-US" w:eastAsia="zh-CN"/>
        </w:rPr>
        <w:t>/</w:t>
      </w:r>
      <w:r>
        <w:rPr>
          <w:rFonts w:hint="eastAsia" w:ascii="Times New Roman" w:hAnsi="Times New Roman" w:eastAsia="仿宋_GB2312" w:cs="仿宋_GB2312"/>
          <w:sz w:val="32"/>
          <w:szCs w:val="32"/>
          <w:highlight w:val="none"/>
        </w:rPr>
        <w:t>破产等原因不再具备持续用电能力或</w:t>
      </w:r>
      <w:r>
        <w:rPr>
          <w:rFonts w:hint="eastAsia" w:ascii="Times New Roman" w:hAnsi="Times New Roman" w:eastAsia="仿宋_GB2312" w:cs="仿宋_GB2312"/>
          <w:sz w:val="32"/>
          <w:szCs w:val="32"/>
          <w:highlight w:val="none"/>
          <w:lang w:val="en-US" w:eastAsia="zh-CN"/>
        </w:rPr>
        <w:t>负荷、电源主体存在违约且长期无法自行协调解决等情况，造成项目整体运营不可持续的</w:t>
      </w:r>
      <w:r>
        <w:rPr>
          <w:rFonts w:hint="eastAsia" w:ascii="Times New Roman" w:hAnsi="Times New Roman" w:eastAsia="仿宋_GB2312" w:cs="仿宋_GB2312"/>
          <w:sz w:val="32"/>
          <w:szCs w:val="32"/>
          <w:highlight w:val="none"/>
        </w:rPr>
        <w:t>，</w:t>
      </w:r>
      <w:r>
        <w:rPr>
          <w:rFonts w:hint="eastAsia" w:ascii="Times New Roman" w:hAnsi="Times New Roman" w:eastAsia="仿宋_GB2312" w:cs="仿宋_GB2312"/>
          <w:sz w:val="32"/>
          <w:szCs w:val="32"/>
          <w:highlight w:val="none"/>
          <w:lang w:val="en-US" w:eastAsia="zh-CN"/>
        </w:rPr>
        <w:t>应主动向市（州）能源主管部门申请退出运营。项目电源退出参照省新能源项目管理有关政策执行。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项目建设内容发生变更（不含新增新能源发电规模）或拟退出运营的项目，在每年组织项目申报时，经市（州）能源主管部门审核同意后，在省绿电直连项目清单中予以调整；纳入省项目清单后1年仍未开工的项目，及时调出项目清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退出运营的项目，其电源在落实接入条件后可重新接入公共电网，如直连电源未曾纳入机制电量，可作为增量项目参与机制电价竞价；项目自建的直连项目及相关输配电设施，可依法依规移交电网企业，或在双方协商一致的前提下由电网企业回购。市（州）能源主管部门应会同电网企业做好退出运营项目中负荷的接续用电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五、组织保障</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rPr>
        <w:t>省能源局会同国家能源局</w:t>
      </w:r>
      <w:r>
        <w:rPr>
          <w:rFonts w:hint="eastAsia" w:ascii="Times New Roman" w:hAnsi="Times New Roman" w:eastAsia="仿宋_GB2312" w:cs="仿宋_GB2312"/>
          <w:sz w:val="32"/>
          <w:szCs w:val="32"/>
          <w:highlight w:val="none"/>
          <w:lang w:val="en-US" w:eastAsia="zh-CN"/>
        </w:rPr>
        <w:t>贵州监管办公室</w:t>
      </w:r>
      <w:r>
        <w:rPr>
          <w:rFonts w:hint="eastAsia" w:ascii="Times New Roman" w:hAnsi="Times New Roman" w:eastAsia="仿宋_GB2312" w:cs="仿宋_GB2312"/>
          <w:sz w:val="32"/>
          <w:szCs w:val="32"/>
          <w:highlight w:val="none"/>
        </w:rPr>
        <w:t>加强对绿电直连模式的指导，及时评估成效，推动绿电直连模式平稳有序发展。</w:t>
      </w:r>
      <w:r>
        <w:rPr>
          <w:rFonts w:hint="eastAsia" w:ascii="Times New Roman" w:hAnsi="Times New Roman" w:eastAsia="仿宋_GB2312" w:cs="仿宋_GB2312"/>
          <w:sz w:val="32"/>
          <w:szCs w:val="32"/>
          <w:highlight w:val="none"/>
          <w:lang w:val="en-US" w:eastAsia="zh-CN"/>
        </w:rPr>
        <w:t>各市（州）、各县（区、市）能源主管部门要履行属地管理责任，组织项目实施，支持项目稳定运行，推动绿电直连有序发展。电网企业、电力市场运营机构等要按照职责分工，全面落实有关规定，不断提升项目接入电网和参与电力市场交易的服务能力与技术保障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六、其他</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项目责任界面划分、调度运行、计量结算、内部管理、交易和价格机制、绿电溯源机制</w:t>
      </w:r>
      <w:r>
        <w:rPr>
          <w:rFonts w:hint="eastAsia" w:ascii="Times New Roman" w:hAnsi="Times New Roman" w:eastAsia="仿宋_GB2312" w:cs="仿宋_GB2312"/>
          <w:sz w:val="32"/>
          <w:szCs w:val="32"/>
          <w:highlight w:val="none"/>
          <w:lang w:eastAsia="zh-CN"/>
        </w:rPr>
        <w:t>以及未尽事项</w:t>
      </w:r>
      <w:r>
        <w:rPr>
          <w:rFonts w:hint="eastAsia" w:ascii="Times New Roman" w:hAnsi="Times New Roman" w:eastAsia="仿宋_GB2312" w:cs="仿宋_GB2312"/>
          <w:sz w:val="32"/>
          <w:szCs w:val="32"/>
          <w:highlight w:val="none"/>
        </w:rPr>
        <w:t>，按照国家有关文件执行。</w:t>
      </w:r>
      <w:r>
        <w:rPr>
          <w:rFonts w:hint="eastAsia" w:ascii="Times New Roman" w:hAnsi="Times New Roman" w:eastAsia="仿宋_GB2312" w:cs="仿宋_GB2312"/>
          <w:sz w:val="32"/>
          <w:szCs w:val="32"/>
          <w:highlight w:val="none"/>
          <w:lang w:eastAsia="zh-CN"/>
        </w:rPr>
        <w:t>如遇国家政策调整，按照国家政策执行。</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eastAsia="zh-CN"/>
        </w:rPr>
      </w:pP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附件：1.绿电直连项目实施方案编制大纲</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2.绿电直连项目申报表</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3.绿电直连项目信息汇总表</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0" w:firstLineChars="0"/>
        <w:jc w:val="both"/>
        <w:textAlignment w:val="auto"/>
        <w:rPr>
          <w:rFonts w:hint="eastAsia" w:ascii="Times New Roman" w:hAnsi="Times New Roman" w:eastAsia="黑体" w:cs="黑体"/>
          <w:sz w:val="32"/>
          <w:szCs w:val="32"/>
          <w:highlight w:val="none"/>
          <w:lang w:val="en-US" w:eastAsia="zh-CN"/>
        </w:rPr>
        <w:sectPr>
          <w:footerReference r:id="rId3" w:type="default"/>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0" w:firstLineChars="0"/>
        <w:jc w:val="both"/>
        <w:textAlignment w:val="auto"/>
        <w:rPr>
          <w:rFonts w:hint="default"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附件1</w:t>
      </w:r>
    </w:p>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eastAsia" w:ascii="Times New Roman" w:hAnsi="Times New Roman" w:eastAsia="方正小标宋简体" w:cs="方正小标宋简体"/>
          <w:sz w:val="44"/>
          <w:szCs w:val="44"/>
          <w:highlight w:val="none"/>
          <w:lang w:val="en-US" w:eastAsia="zh-CN"/>
        </w:rPr>
      </w:pPr>
      <w:r>
        <w:rPr>
          <w:rFonts w:hint="eastAsia" w:ascii="Times New Roman" w:hAnsi="Times New Roman" w:eastAsia="方正小标宋简体" w:cs="方正小标宋简体"/>
          <w:sz w:val="44"/>
          <w:szCs w:val="44"/>
          <w:highlight w:val="none"/>
          <w:lang w:val="en-US" w:eastAsia="zh-CN"/>
        </w:rPr>
        <w:t>绿电直连项目实施方案编制大纲</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一、编制依据及实施原则</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楷体_GB2312" w:cs="楷体_GB2312"/>
          <w:sz w:val="32"/>
          <w:szCs w:val="32"/>
          <w:highlight w:val="none"/>
          <w:lang w:val="en-US" w:eastAsia="zh-CN"/>
        </w:rPr>
      </w:pPr>
      <w:r>
        <w:rPr>
          <w:rFonts w:hint="eastAsia" w:ascii="Times New Roman" w:hAnsi="Times New Roman" w:eastAsia="楷体_GB2312" w:cs="楷体_GB2312"/>
          <w:sz w:val="32"/>
          <w:szCs w:val="32"/>
          <w:highlight w:val="none"/>
          <w:lang w:val="en-US" w:eastAsia="zh-CN"/>
        </w:rPr>
        <w:t>（一）编制依据</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依据《中华人民共和国能源法》《企业投资项目核准和备案管理办法》《分布式光伏发电开发建设管理办法》</w:t>
      </w:r>
      <w:r>
        <w:rPr>
          <w:rFonts w:hint="eastAsia" w:ascii="Times New Roman" w:hAnsi="Times New Roman" w:eastAsia="仿宋_GB2312" w:cs="仿宋_GB2312"/>
          <w:sz w:val="32"/>
          <w:szCs w:val="32"/>
          <w:highlight w:val="none"/>
        </w:rPr>
        <w:t>《国家发展改革委 国家能源局关于有序推动绿电直连发展有关事项的通知》《国家发展改革委 国家能源局关于有序推动多用户绿电直连发展有关事项的通知》</w:t>
      </w:r>
      <w:r>
        <w:rPr>
          <w:rFonts w:hint="eastAsia" w:ascii="Times New Roman" w:hAnsi="Times New Roman" w:eastAsia="仿宋_GB2312" w:cs="仿宋_GB2312"/>
          <w:sz w:val="32"/>
          <w:szCs w:val="32"/>
          <w:highlight w:val="none"/>
          <w:lang w:val="en-US" w:eastAsia="zh-CN"/>
        </w:rPr>
        <w:t>以及《国家发展改革委 国家能源局关于完善价格机制促进新能源发电就近消纳的通知》等有关政策文件。</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楷体_GB2312" w:cs="楷体_GB2312"/>
          <w:sz w:val="32"/>
          <w:szCs w:val="32"/>
          <w:highlight w:val="none"/>
          <w:lang w:val="en-US" w:eastAsia="zh-CN"/>
        </w:rPr>
      </w:pPr>
      <w:r>
        <w:rPr>
          <w:rFonts w:hint="eastAsia" w:ascii="Times New Roman" w:hAnsi="Times New Roman" w:eastAsia="楷体_GB2312" w:cs="楷体_GB2312"/>
          <w:sz w:val="32"/>
          <w:szCs w:val="32"/>
          <w:highlight w:val="none"/>
          <w:lang w:val="en-US" w:eastAsia="zh-CN"/>
        </w:rPr>
        <w:t>（二）适用范围及项目类型</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适用于风电、光伏、生物质发电等清洁能源通过专用电力线路直接向电力用户供电的绿电直连项目，分为并网型和离网型。并网型项目需与公共电网形成清晰物理界面，接入用户侧。</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楷体_GB2312" w:cs="楷体_GB2312"/>
          <w:sz w:val="32"/>
          <w:szCs w:val="32"/>
          <w:highlight w:val="none"/>
          <w:lang w:val="en-US" w:eastAsia="zh-CN"/>
        </w:rPr>
      </w:pPr>
      <w:r>
        <w:rPr>
          <w:rFonts w:hint="eastAsia" w:ascii="Times New Roman" w:hAnsi="Times New Roman" w:eastAsia="楷体_GB2312" w:cs="楷体_GB2312"/>
          <w:sz w:val="32"/>
          <w:szCs w:val="32"/>
          <w:highlight w:val="none"/>
          <w:lang w:val="en-US" w:eastAsia="zh-CN"/>
        </w:rPr>
        <w:t>（三）设计水平年</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明确绿电电源建设进度、负荷形成规模及电网接入完成节点，统筹考虑电源、负荷、储能及直连线路等内容的投产时间。</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二、项目概况与建设必要性</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楷体_GB2312" w:cs="楷体_GB2312"/>
          <w:sz w:val="32"/>
          <w:szCs w:val="32"/>
          <w:highlight w:val="none"/>
          <w:lang w:val="en-US" w:eastAsia="zh-CN"/>
        </w:rPr>
      </w:pPr>
      <w:r>
        <w:rPr>
          <w:rFonts w:hint="eastAsia" w:ascii="Times New Roman" w:hAnsi="Times New Roman" w:eastAsia="楷体_GB2312" w:cs="楷体_GB2312"/>
          <w:sz w:val="32"/>
          <w:szCs w:val="32"/>
          <w:highlight w:val="none"/>
          <w:lang w:val="en-US" w:eastAsia="zh-CN"/>
        </w:rPr>
        <w:t>（一）项目概况</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应从项目名称、项目类型、投资主体、建设地点、建设规模等方面介绍项目概况。</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楷体_GB2312" w:cs="楷体_GB2312"/>
          <w:sz w:val="32"/>
          <w:szCs w:val="32"/>
          <w:highlight w:val="none"/>
          <w:lang w:val="en-US" w:eastAsia="zh-CN"/>
        </w:rPr>
      </w:pPr>
      <w:r>
        <w:rPr>
          <w:rFonts w:hint="eastAsia" w:ascii="Times New Roman" w:hAnsi="Times New Roman" w:eastAsia="楷体_GB2312" w:cs="楷体_GB2312"/>
          <w:sz w:val="32"/>
          <w:szCs w:val="32"/>
          <w:highlight w:val="none"/>
          <w:lang w:val="en-US" w:eastAsia="zh-CN"/>
        </w:rPr>
        <w:t>（二）建设必要性</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应综合考虑企业绿色用能需求、资源条件等因素分析项目建设必要性。</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三、项目主要建设内容</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楷体_GB2312" w:cs="楷体_GB2312"/>
          <w:sz w:val="32"/>
          <w:szCs w:val="32"/>
          <w:highlight w:val="none"/>
          <w:lang w:val="en-US" w:eastAsia="zh-CN"/>
        </w:rPr>
      </w:pPr>
      <w:r>
        <w:rPr>
          <w:rFonts w:hint="eastAsia" w:ascii="Times New Roman" w:hAnsi="Times New Roman" w:eastAsia="楷体_GB2312" w:cs="楷体_GB2312"/>
          <w:sz w:val="32"/>
          <w:szCs w:val="32"/>
          <w:highlight w:val="none"/>
          <w:lang w:val="en-US" w:eastAsia="zh-CN"/>
        </w:rPr>
        <w:t>（一）电源建设内容</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介绍电源类型、地理位置、最终规划容量与分期建设容量、前期情况、计划投产时间等。介绍电源的主要特征，包括所在地资源条件、选址规划情况、主要发电设备、新能源利用率、出力曲线、发电利用小时数、年发电量、主要电气设备、主要土建和消防工程、环评水保、节能降耗等。</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楷体_GB2312" w:cs="楷体_GB2312"/>
          <w:sz w:val="32"/>
          <w:szCs w:val="32"/>
          <w:highlight w:val="none"/>
          <w:lang w:val="en-US" w:eastAsia="zh-CN"/>
        </w:rPr>
      </w:pPr>
      <w:r>
        <w:rPr>
          <w:rFonts w:hint="eastAsia" w:ascii="Times New Roman" w:hAnsi="Times New Roman" w:eastAsia="楷体_GB2312" w:cs="楷体_GB2312"/>
          <w:sz w:val="32"/>
          <w:szCs w:val="32"/>
          <w:highlight w:val="none"/>
          <w:lang w:val="en-US" w:eastAsia="zh-CN"/>
        </w:rPr>
        <w:t>（二）负荷建设内容（新增负荷）/负荷概况（存量负荷）</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介绍负荷项目的基本情况，包括负荷项目类型、主要生产内容、建设位置、终期建设规模以及本期建设规模；介绍项目的用电特性，包括项目最大用电负荷、年用电曲线、年用电量等内容。</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楷体_GB2312" w:cs="楷体_GB2312"/>
          <w:sz w:val="32"/>
          <w:szCs w:val="32"/>
          <w:highlight w:val="none"/>
          <w:lang w:val="en-US" w:eastAsia="zh-CN"/>
        </w:rPr>
      </w:pPr>
      <w:r>
        <w:rPr>
          <w:rFonts w:hint="eastAsia" w:ascii="Times New Roman" w:hAnsi="Times New Roman" w:eastAsia="楷体_GB2312" w:cs="楷体_GB2312"/>
          <w:sz w:val="32"/>
          <w:szCs w:val="32"/>
          <w:highlight w:val="none"/>
          <w:lang w:val="en-US" w:eastAsia="zh-CN"/>
        </w:rPr>
        <w:t>（三）储能建设内容</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介绍储能电站的类型、容量、建设位置等内容。</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楷体_GB2312" w:cs="楷体_GB2312"/>
          <w:sz w:val="32"/>
          <w:szCs w:val="32"/>
          <w:highlight w:val="none"/>
          <w:lang w:val="en-US" w:eastAsia="zh-CN"/>
        </w:rPr>
      </w:pPr>
      <w:r>
        <w:rPr>
          <w:rFonts w:hint="eastAsia" w:ascii="Times New Roman" w:hAnsi="Times New Roman" w:eastAsia="楷体_GB2312" w:cs="楷体_GB2312"/>
          <w:sz w:val="32"/>
          <w:szCs w:val="32"/>
          <w:highlight w:val="none"/>
          <w:lang w:val="en-US" w:eastAsia="zh-CN"/>
        </w:rPr>
        <w:t>（四）直连线路建设内容</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提出直连线路的建设主体（明确负荷还是电源企业建设），明确线路路径、线路距离、电压等级和接入点等。</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楷体_GB2312" w:cs="楷体_GB2312"/>
          <w:sz w:val="32"/>
          <w:szCs w:val="32"/>
          <w:highlight w:val="none"/>
          <w:lang w:val="en-US" w:eastAsia="zh-CN"/>
        </w:rPr>
      </w:pPr>
      <w:r>
        <w:rPr>
          <w:rFonts w:hint="eastAsia" w:ascii="Times New Roman" w:hAnsi="Times New Roman" w:eastAsia="楷体_GB2312" w:cs="楷体_GB2312"/>
          <w:sz w:val="32"/>
          <w:szCs w:val="32"/>
          <w:highlight w:val="none"/>
          <w:lang w:val="en-US" w:eastAsia="zh-CN"/>
        </w:rPr>
        <w:t>（五）源荷储匹配分析</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介绍项目电力电量平衡的边界条件与有关规则，选择设计水平年和规划水平年开展电力电量平衡分析，对项目新能源利用率、新能源消纳电量占负荷总用电量以及上网电量的比例进行分析，满足峰谷差、电能质量管理等要求。</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楷体_GB2312" w:cs="楷体_GB2312"/>
          <w:sz w:val="32"/>
          <w:szCs w:val="32"/>
          <w:highlight w:val="none"/>
          <w:lang w:val="en-US" w:eastAsia="zh-CN"/>
        </w:rPr>
      </w:pPr>
      <w:r>
        <w:rPr>
          <w:rFonts w:hint="eastAsia" w:ascii="Times New Roman" w:hAnsi="Times New Roman" w:eastAsia="楷体_GB2312" w:cs="楷体_GB2312"/>
          <w:sz w:val="32"/>
          <w:szCs w:val="32"/>
          <w:highlight w:val="none"/>
          <w:lang w:val="en-US" w:eastAsia="zh-CN"/>
        </w:rPr>
        <w:t>（六）接入系统方案</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介绍项目投产前周边的电网情况，根据项目本远期建设内容以及电力平衡结果，结合电网网架现状、发展情况以及负荷分布等，阐述方案拟定思路和初步拟定的接入公共电网电压等级和容量，初步分析拟接入点的建设条件、扩建条件及接入线路走廊初步条件，提出接入系统比较方案和必要的过渡方案，介绍主接线设想、主要电气设备选择等规划设计内容。</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四、项目实施条件</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从明确负荷类型、投资主体、建设地点产权归属等角度，明确项目电源、负荷、直连线路以及储能（如有）的实施条件。</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五、电力系统安全评估</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rPr>
        <w:t>绿电直连项目应基于省级及以上电网</w:t>
      </w:r>
      <w:r>
        <w:rPr>
          <w:rFonts w:hint="eastAsia" w:ascii="Times New Roman" w:hAnsi="Times New Roman" w:eastAsia="仿宋_GB2312" w:cs="仿宋_GB2312"/>
          <w:sz w:val="32"/>
          <w:szCs w:val="32"/>
          <w:highlight w:val="none"/>
          <w:lang w:val="en-US" w:eastAsia="zh-CN"/>
        </w:rPr>
        <w:t>网架</w:t>
      </w:r>
      <w:r>
        <w:rPr>
          <w:rFonts w:hint="eastAsia" w:ascii="Times New Roman" w:hAnsi="Times New Roman" w:eastAsia="仿宋_GB2312" w:cs="仿宋_GB2312"/>
          <w:sz w:val="32"/>
          <w:szCs w:val="32"/>
          <w:highlight w:val="none"/>
        </w:rPr>
        <w:t>、计算边界和运行</w:t>
      </w:r>
      <w:r>
        <w:rPr>
          <w:rFonts w:hint="eastAsia" w:ascii="Times New Roman" w:hAnsi="Times New Roman" w:eastAsia="仿宋_GB2312" w:cs="仿宋_GB2312"/>
          <w:sz w:val="32"/>
          <w:szCs w:val="32"/>
          <w:highlight w:val="none"/>
          <w:lang w:eastAsia="zh-CN"/>
        </w:rPr>
        <w:t>方式</w:t>
      </w:r>
      <w:r>
        <w:rPr>
          <w:rFonts w:hint="eastAsia" w:ascii="Times New Roman" w:hAnsi="Times New Roman" w:eastAsia="仿宋_GB2312" w:cs="仿宋_GB2312"/>
          <w:sz w:val="32"/>
          <w:szCs w:val="32"/>
          <w:highlight w:val="none"/>
        </w:rPr>
        <w:t>开展电力系统安全评估。充分考虑项目接入对区域电网安全稳定运行的影响，提出针对性的安全风险管控措施。</w:t>
      </w:r>
      <w:r>
        <w:rPr>
          <w:rFonts w:hint="eastAsia" w:ascii="Times New Roman" w:hAnsi="Times New Roman" w:eastAsia="仿宋_GB2312" w:cs="仿宋_GB2312"/>
          <w:sz w:val="32"/>
          <w:szCs w:val="32"/>
          <w:highlight w:val="none"/>
          <w:lang w:val="en-US" w:eastAsia="zh-CN"/>
        </w:rPr>
        <w:t>确保</w:t>
      </w:r>
      <w:r>
        <w:rPr>
          <w:rFonts w:hint="eastAsia" w:ascii="Times New Roman" w:hAnsi="Times New Roman" w:eastAsia="仿宋_GB2312" w:cs="仿宋_GB2312"/>
          <w:sz w:val="32"/>
          <w:szCs w:val="32"/>
          <w:highlight w:val="none"/>
        </w:rPr>
        <w:t>方案深度</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评估结论能够支撑项目后续建设实施。</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楷体_GB2312" w:cs="楷体_GB2312"/>
          <w:sz w:val="32"/>
          <w:szCs w:val="32"/>
          <w:highlight w:val="none"/>
          <w:lang w:val="en-US" w:eastAsia="zh-CN"/>
        </w:rPr>
      </w:pPr>
      <w:r>
        <w:rPr>
          <w:rFonts w:hint="eastAsia" w:ascii="Times New Roman" w:hAnsi="Times New Roman" w:eastAsia="楷体_GB2312" w:cs="楷体_GB2312"/>
          <w:sz w:val="32"/>
          <w:szCs w:val="32"/>
          <w:highlight w:val="none"/>
          <w:lang w:val="en-US" w:eastAsia="zh-CN"/>
        </w:rPr>
        <w:t>（一）潮流计算分析</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根据计算水平年、负荷水平、电源、网络结构、潮流方式、功率因数、电压控制范围等计算条件，给出项目潮流分析与流向、电压水平等潮流计算结果，确定项目是否满足用电需求。</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楷体_GB2312" w:cs="楷体_GB2312"/>
          <w:sz w:val="32"/>
          <w:szCs w:val="32"/>
          <w:highlight w:val="none"/>
          <w:lang w:val="en-US" w:eastAsia="zh-CN"/>
        </w:rPr>
      </w:pPr>
      <w:r>
        <w:rPr>
          <w:rFonts w:hint="eastAsia" w:ascii="Times New Roman" w:hAnsi="Times New Roman" w:eastAsia="楷体_GB2312" w:cs="楷体_GB2312"/>
          <w:sz w:val="32"/>
          <w:szCs w:val="32"/>
          <w:highlight w:val="none"/>
          <w:lang w:val="en-US" w:eastAsia="zh-CN"/>
        </w:rPr>
        <w:t>（二）稳定计算分析</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根据计算水平年、计算运行方式、故障条件、保护动作情况、发电机组数学模型等计算条件，给出项目稳定计算分析结果，校验典型运行方式下电网稳定水平。</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楷体_GB2312" w:cs="楷体_GB2312"/>
          <w:sz w:val="32"/>
          <w:szCs w:val="32"/>
          <w:highlight w:val="none"/>
          <w:lang w:val="en-US" w:eastAsia="zh-CN"/>
        </w:rPr>
      </w:pPr>
      <w:r>
        <w:rPr>
          <w:rFonts w:hint="eastAsia" w:ascii="Times New Roman" w:hAnsi="Times New Roman" w:eastAsia="楷体_GB2312" w:cs="楷体_GB2312"/>
          <w:sz w:val="32"/>
          <w:szCs w:val="32"/>
          <w:highlight w:val="none"/>
          <w:lang w:val="en-US" w:eastAsia="zh-CN"/>
        </w:rPr>
        <w:t>（三）短路电流计算分析</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根据合理选择的计算工具、计算模型、计算边界等计算条件，给出项目短路电流计算分析结果并提出相应措施。</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楷体_GB2312" w:cs="楷体_GB2312"/>
          <w:sz w:val="32"/>
          <w:szCs w:val="32"/>
          <w:highlight w:val="none"/>
          <w:lang w:val="en-US" w:eastAsia="zh-CN"/>
        </w:rPr>
      </w:pPr>
      <w:r>
        <w:rPr>
          <w:rFonts w:hint="eastAsia" w:ascii="Times New Roman" w:hAnsi="Times New Roman" w:eastAsia="楷体_GB2312" w:cs="楷体_GB2312"/>
          <w:sz w:val="32"/>
          <w:szCs w:val="32"/>
          <w:highlight w:val="none"/>
          <w:lang w:val="en-US" w:eastAsia="zh-CN"/>
        </w:rPr>
        <w:t>（四）短路比计算分析</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选择合理运行方式，对新能源发电单元升压变低压侧、新能源并网点、用户变高压侧、用户变接入点等开展多场站短路比计算。</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六、投资估算及财务分析</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综合考虑建设性质、设备型号、建设规模等因素开展电源、负荷、直连线路以及储能的投资估算与财务评价。</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七、经济效益和社会效益</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应从经济效益和社会效益两个方面，综合分析项目实施的综合价值，突出绿电直连在促进产业绿色转型、提升能源利用效率、推动区域经济发展等方面的积极作用。</w:t>
      </w:r>
    </w:p>
    <w:p>
      <w:pPr>
        <w:keepNext w:val="0"/>
        <w:keepLines w:val="0"/>
        <w:pageBreakBefore w:val="0"/>
        <w:widowControl w:val="0"/>
        <w:kinsoku/>
        <w:wordWrap/>
        <w:overflowPunct/>
        <w:topLinePunct w:val="0"/>
        <w:autoSpaceDE/>
        <w:autoSpaceDN/>
        <w:bidi w:val="0"/>
        <w:adjustRightInd/>
        <w:snapToGrid/>
        <w:spacing w:beforeLines="-2147483648" w:afterLines="-2147483648" w:line="560" w:lineRule="exact"/>
        <w:ind w:firstLine="640" w:firstLineChars="200"/>
        <w:textAlignment w:val="auto"/>
        <w:rPr>
          <w:rFonts w:hint="eastAsia" w:ascii="Times New Roman" w:hAnsi="Times New Roman" w:eastAsia="黑体" w:cs="黑体"/>
          <w:sz w:val="32"/>
          <w:szCs w:val="32"/>
          <w:highlight w:val="none"/>
        </w:rPr>
      </w:pPr>
      <w:r>
        <w:rPr>
          <w:rFonts w:hint="eastAsia" w:ascii="Times New Roman" w:hAnsi="Times New Roman" w:eastAsia="黑体" w:cs="黑体"/>
          <w:sz w:val="32"/>
          <w:szCs w:val="32"/>
          <w:highlight w:val="none"/>
          <w:lang w:val="en-US" w:eastAsia="zh-CN"/>
        </w:rPr>
        <w:t>八</w:t>
      </w:r>
      <w:r>
        <w:rPr>
          <w:rFonts w:hint="eastAsia" w:ascii="Times New Roman" w:hAnsi="Times New Roman" w:eastAsia="黑体" w:cs="黑体"/>
          <w:sz w:val="32"/>
          <w:szCs w:val="32"/>
          <w:highlight w:val="none"/>
        </w:rPr>
        <w:t>、保障措施</w:t>
      </w:r>
    </w:p>
    <w:p>
      <w:pPr>
        <w:keepNext w:val="0"/>
        <w:keepLines w:val="0"/>
        <w:pageBreakBefore w:val="0"/>
        <w:widowControl w:val="0"/>
        <w:kinsoku/>
        <w:wordWrap/>
        <w:overflowPunct/>
        <w:topLinePunct w:val="0"/>
        <w:autoSpaceDE/>
        <w:autoSpaceDN/>
        <w:bidi w:val="0"/>
        <w:adjustRightInd/>
        <w:snapToGrid/>
        <w:spacing w:beforeLines="-2147483648" w:afterLines="-2147483648" w:line="560" w:lineRule="exact"/>
        <w:ind w:firstLine="640" w:firstLineChars="200"/>
        <w:textAlignment w:val="auto"/>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明确</w:t>
      </w:r>
      <w:r>
        <w:rPr>
          <w:rFonts w:hint="eastAsia" w:ascii="Times New Roman" w:hAnsi="Times New Roman" w:eastAsia="仿宋_GB2312" w:cs="仿宋_GB2312"/>
          <w:sz w:val="32"/>
          <w:szCs w:val="32"/>
          <w:highlight w:val="none"/>
          <w:lang w:eastAsia="zh-CN"/>
        </w:rPr>
        <w:t>组织保障、要素保障、项目保障等措施</w:t>
      </w:r>
      <w:r>
        <w:rPr>
          <w:rFonts w:hint="eastAsia" w:ascii="Times New Roman" w:hAnsi="Times New Roman" w:eastAsia="仿宋_GB2312" w:cs="仿宋_GB2312"/>
          <w:sz w:val="32"/>
          <w:szCs w:val="32"/>
          <w:highlight w:val="none"/>
        </w:rPr>
        <w:t>。</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九、结论</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总结项目主要结论和建议，应包括：电源建设方案、接入系统方案、投资规模、新能源弃电率、绿电比例及电价情况等。</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十、附件</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楷体_GB2312" w:cs="楷体_GB2312"/>
          <w:sz w:val="32"/>
          <w:szCs w:val="32"/>
          <w:highlight w:val="none"/>
          <w:lang w:val="en-US" w:eastAsia="zh-CN"/>
        </w:rPr>
        <w:t>（一）</w:t>
      </w:r>
      <w:r>
        <w:rPr>
          <w:rFonts w:hint="eastAsia" w:ascii="Times New Roman" w:hAnsi="Times New Roman" w:eastAsia="仿宋_GB2312" w:cs="仿宋_GB2312"/>
          <w:sz w:val="32"/>
          <w:szCs w:val="32"/>
          <w:highlight w:val="none"/>
          <w:lang w:val="en-US" w:eastAsia="zh-CN"/>
        </w:rPr>
        <w:t>绿电直连项目建设单位工商注册信息、法定代表人信息、统一社会信用代码、工商营业执照、信用证明等。</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楷体_GB2312" w:cs="楷体_GB2312"/>
          <w:sz w:val="32"/>
          <w:szCs w:val="32"/>
          <w:highlight w:val="none"/>
          <w:lang w:val="en-US" w:eastAsia="zh-CN"/>
        </w:rPr>
        <w:t>（二）</w:t>
      </w:r>
      <w:r>
        <w:rPr>
          <w:rFonts w:hint="eastAsia" w:ascii="Times New Roman" w:hAnsi="Times New Roman" w:eastAsia="仿宋_GB2312" w:cs="仿宋_GB2312"/>
          <w:sz w:val="32"/>
          <w:szCs w:val="32"/>
          <w:highlight w:val="none"/>
          <w:lang w:val="en-US" w:eastAsia="zh-CN"/>
        </w:rPr>
        <w:t>政府职能部门出具的项目选址意见。</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楷体_GB2312" w:cs="楷体_GB2312"/>
          <w:sz w:val="32"/>
          <w:szCs w:val="32"/>
          <w:highlight w:val="none"/>
          <w:lang w:val="en-US" w:eastAsia="zh-CN"/>
        </w:rPr>
        <w:t>（三）</w:t>
      </w:r>
      <w:r>
        <w:rPr>
          <w:rFonts w:hint="eastAsia" w:ascii="Times New Roman" w:hAnsi="Times New Roman" w:eastAsia="仿宋_GB2312" w:cs="仿宋_GB2312"/>
          <w:sz w:val="32"/>
          <w:szCs w:val="32"/>
          <w:highlight w:val="none"/>
          <w:lang w:val="en-US" w:eastAsia="zh-CN"/>
        </w:rPr>
        <w:t>项目电源和负荷不是同一投资主体的，应提供负荷和电源之间签订的多年期购电协议或合同能源管理协议，以及就电力设施建设、产权划分、运行维护、调度运行、结算关系、违约责任等事项签订的协议。</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楷体_GB2312" w:cs="楷体_GB2312"/>
          <w:sz w:val="32"/>
          <w:szCs w:val="32"/>
          <w:highlight w:val="none"/>
          <w:lang w:val="en-US" w:eastAsia="zh-CN"/>
        </w:rPr>
        <w:t>（四）</w:t>
      </w:r>
      <w:r>
        <w:rPr>
          <w:rFonts w:hint="eastAsia" w:ascii="Times New Roman" w:hAnsi="Times New Roman" w:eastAsia="仿宋_GB2312" w:cs="仿宋_GB2312"/>
          <w:sz w:val="32"/>
          <w:szCs w:val="32"/>
          <w:highlight w:val="none"/>
          <w:lang w:val="en-US" w:eastAsia="zh-CN"/>
        </w:rPr>
        <w:t>法律法规规定的其他支持性文件。</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附件：1-1.电力系统安全风险专项评估报告</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1600" w:firstLineChars="5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1-2.</w:t>
      </w:r>
      <w:r>
        <w:rPr>
          <w:rFonts w:hint="eastAsia" w:ascii="Times New Roman" w:hAnsi="Times New Roman" w:eastAsia="仿宋_GB2312" w:cs="仿宋_GB2312"/>
          <w:sz w:val="32"/>
          <w:szCs w:val="32"/>
          <w:highlight w:val="none"/>
        </w:rPr>
        <w:t>项目用电调节和有序供应预案</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sz w:val="32"/>
          <w:szCs w:val="32"/>
          <w:highlight w:val="none"/>
          <w:lang w:val="en-US" w:eastAsia="zh-CN"/>
        </w:rPr>
        <w:sectPr>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0" w:firstLineChars="0"/>
        <w:jc w:val="both"/>
        <w:textAlignment w:val="auto"/>
        <w:rPr>
          <w:rFonts w:hint="default"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附件1-1</w:t>
      </w:r>
    </w:p>
    <w:p>
      <w:pPr>
        <w:keepNext w:val="0"/>
        <w:keepLines w:val="0"/>
        <w:widowControl w:val="0"/>
        <w:suppressLineNumbers w:val="0"/>
        <w:overflowPunct/>
        <w:spacing w:before="0" w:beforeAutospacing="0" w:after="0" w:afterAutospacing="0" w:line="640" w:lineRule="exact"/>
        <w:ind w:left="0" w:right="0"/>
        <w:jc w:val="center"/>
        <w:rPr>
          <w:rFonts w:hint="eastAsia" w:ascii="Times New Roman" w:hAnsi="Times New Roman" w:eastAsia="方正小标宋简体" w:cs="方正小标宋简体"/>
          <w:kern w:val="2"/>
          <w:sz w:val="44"/>
          <w:szCs w:val="44"/>
          <w:highlight w:val="none"/>
        </w:rPr>
      </w:pPr>
      <w:r>
        <w:rPr>
          <w:rFonts w:hint="eastAsia" w:ascii="Times New Roman" w:hAnsi="Times New Roman" w:eastAsia="方正小标宋简体" w:cs="方正小标宋简体"/>
          <w:b w:val="0"/>
          <w:bCs w:val="0"/>
          <w:color w:val="auto"/>
          <w:kern w:val="2"/>
          <w:sz w:val="44"/>
          <w:szCs w:val="44"/>
          <w:highlight w:val="none"/>
          <w:lang w:val="en-US" w:eastAsia="zh-CN" w:bidi="ar"/>
        </w:rPr>
        <w:t>电力系统安全风险专项评估报告</w:t>
      </w:r>
    </w:p>
    <w:p>
      <w:pPr>
        <w:keepNext w:val="0"/>
        <w:keepLines w:val="0"/>
        <w:widowControl w:val="0"/>
        <w:suppressLineNumbers w:val="0"/>
        <w:overflowPunct/>
        <w:spacing w:before="0" w:beforeAutospacing="0" w:after="0" w:afterAutospacing="0" w:line="560" w:lineRule="exact"/>
        <w:ind w:left="0" w:right="0" w:firstLine="0" w:firstLineChars="0"/>
        <w:jc w:val="center"/>
        <w:rPr>
          <w:rFonts w:hint="eastAsia" w:ascii="Times New Roman" w:hAnsi="Times New Roman" w:eastAsia="仿宋_GB2312" w:cs="仿宋_GB2312"/>
          <w:kern w:val="2"/>
          <w:sz w:val="32"/>
          <w:szCs w:val="32"/>
          <w:highlight w:val="none"/>
        </w:rPr>
      </w:pP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黑体" w:cs="黑体"/>
          <w:kern w:val="2"/>
          <w:sz w:val="32"/>
          <w:szCs w:val="32"/>
          <w:highlight w:val="none"/>
        </w:rPr>
      </w:pPr>
      <w:r>
        <w:rPr>
          <w:rFonts w:hint="eastAsia" w:ascii="Times New Roman" w:hAnsi="Times New Roman" w:eastAsia="黑体" w:cs="黑体"/>
          <w:kern w:val="2"/>
          <w:sz w:val="32"/>
          <w:szCs w:val="32"/>
          <w:highlight w:val="none"/>
          <w:lang w:val="en-US" w:eastAsia="zh-CN" w:bidi="ar"/>
        </w:rPr>
        <w:t>前言</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楷体_GB2312" w:cs="楷体_GB2312"/>
          <w:kern w:val="2"/>
          <w:sz w:val="32"/>
          <w:szCs w:val="32"/>
          <w:highlight w:val="none"/>
        </w:rPr>
      </w:pPr>
      <w:r>
        <w:rPr>
          <w:rFonts w:hint="eastAsia" w:ascii="Times New Roman" w:hAnsi="Times New Roman" w:eastAsia="楷体_GB2312" w:cs="楷体_GB2312"/>
          <w:kern w:val="2"/>
          <w:sz w:val="32"/>
          <w:szCs w:val="32"/>
          <w:highlight w:val="none"/>
          <w:lang w:val="en-US" w:eastAsia="zh-CN" w:bidi="ar"/>
        </w:rPr>
        <w:t>（一）报告编制单位情况</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kern w:val="2"/>
          <w:sz w:val="32"/>
          <w:szCs w:val="32"/>
          <w:highlight w:val="none"/>
          <w:lang w:val="en-US" w:eastAsia="zh-CN" w:bidi="ar"/>
        </w:rPr>
        <w:t>包括但不限于报告编制单位简介、相关资质及编制人员等。</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楷体_GB2312" w:cs="楷体_GB2312"/>
          <w:kern w:val="2"/>
          <w:sz w:val="32"/>
          <w:szCs w:val="32"/>
          <w:highlight w:val="none"/>
        </w:rPr>
      </w:pPr>
      <w:r>
        <w:rPr>
          <w:rFonts w:hint="eastAsia" w:ascii="Times New Roman" w:hAnsi="Times New Roman" w:eastAsia="楷体_GB2312" w:cs="楷体_GB2312"/>
          <w:kern w:val="2"/>
          <w:sz w:val="32"/>
          <w:szCs w:val="32"/>
          <w:highlight w:val="none"/>
          <w:lang w:val="en-US" w:eastAsia="zh-CN" w:bidi="ar"/>
        </w:rPr>
        <w:t>（二）设计依据</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kern w:val="2"/>
          <w:sz w:val="32"/>
          <w:szCs w:val="32"/>
          <w:highlight w:val="none"/>
          <w:lang w:val="en-US" w:eastAsia="zh-CN" w:bidi="ar"/>
        </w:rPr>
        <w:t>设计相关规范规程。</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黑体" w:cs="黑体"/>
          <w:kern w:val="2"/>
          <w:sz w:val="32"/>
          <w:szCs w:val="32"/>
          <w:highlight w:val="none"/>
        </w:rPr>
      </w:pPr>
      <w:r>
        <w:rPr>
          <w:rFonts w:hint="eastAsia" w:ascii="Times New Roman" w:hAnsi="Times New Roman" w:eastAsia="黑体" w:cs="黑体"/>
          <w:kern w:val="2"/>
          <w:sz w:val="32"/>
          <w:szCs w:val="32"/>
          <w:highlight w:val="none"/>
          <w:lang w:val="en-US" w:eastAsia="zh-CN" w:bidi="ar"/>
        </w:rPr>
        <w:t>一、项目概况</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楷体_GB2312" w:cs="楷体_GB2312"/>
          <w:kern w:val="2"/>
          <w:sz w:val="32"/>
          <w:szCs w:val="32"/>
          <w:highlight w:val="none"/>
        </w:rPr>
      </w:pPr>
      <w:r>
        <w:rPr>
          <w:rFonts w:hint="eastAsia" w:ascii="Times New Roman" w:hAnsi="Times New Roman" w:eastAsia="楷体_GB2312" w:cs="楷体_GB2312"/>
          <w:kern w:val="2"/>
          <w:sz w:val="32"/>
          <w:szCs w:val="32"/>
          <w:highlight w:val="none"/>
          <w:lang w:val="en-US" w:eastAsia="zh-CN" w:bidi="ar"/>
        </w:rPr>
        <w:t>（一）项目概况</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kern w:val="2"/>
          <w:sz w:val="32"/>
          <w:szCs w:val="32"/>
          <w:highlight w:val="none"/>
          <w:lang w:val="en-US" w:eastAsia="zh-CN" w:bidi="ar"/>
        </w:rPr>
        <w:t>简要介绍项目情况，包括但不限于项目位置、项目类型（并网型或离网型）、建设内容、建设时序和规模（包含负荷、电源、储能、直连线路、接网工程等）等基本信息。</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楷体_GB2312" w:cs="楷体_GB2312"/>
          <w:kern w:val="2"/>
          <w:sz w:val="32"/>
          <w:szCs w:val="32"/>
          <w:highlight w:val="none"/>
        </w:rPr>
      </w:pPr>
      <w:r>
        <w:rPr>
          <w:rFonts w:hint="eastAsia" w:ascii="Times New Roman" w:hAnsi="Times New Roman" w:eastAsia="楷体_GB2312" w:cs="楷体_GB2312"/>
          <w:kern w:val="2"/>
          <w:sz w:val="32"/>
          <w:szCs w:val="32"/>
          <w:highlight w:val="none"/>
          <w:lang w:val="en-US" w:eastAsia="zh-CN" w:bidi="ar"/>
        </w:rPr>
        <w:t>（二）直连线路建设方案</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kern w:val="2"/>
          <w:sz w:val="32"/>
          <w:szCs w:val="32"/>
          <w:highlight w:val="none"/>
          <w:lang w:val="en-US" w:eastAsia="zh-CN" w:bidi="ar"/>
        </w:rPr>
        <w:t>详细介绍电源侧和负荷侧间的直连线路情况，包括但不限于送出方式（如架空线路或直埋等）、送出线路长度、线路参数、路径示意图等。</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黑体" w:cs="黑体"/>
          <w:kern w:val="2"/>
          <w:sz w:val="32"/>
          <w:szCs w:val="32"/>
          <w:highlight w:val="none"/>
        </w:rPr>
      </w:pPr>
      <w:r>
        <w:rPr>
          <w:rFonts w:hint="eastAsia" w:ascii="Times New Roman" w:hAnsi="Times New Roman" w:eastAsia="黑体" w:cs="黑体"/>
          <w:kern w:val="2"/>
          <w:sz w:val="32"/>
          <w:szCs w:val="32"/>
          <w:highlight w:val="none"/>
          <w:lang w:val="en-US" w:eastAsia="zh-CN" w:bidi="ar"/>
        </w:rPr>
        <w:t>二、电力系统概况</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楷体_GB2312" w:cs="楷体_GB2312"/>
          <w:kern w:val="2"/>
          <w:sz w:val="32"/>
          <w:szCs w:val="32"/>
          <w:highlight w:val="none"/>
        </w:rPr>
      </w:pPr>
      <w:r>
        <w:rPr>
          <w:rFonts w:hint="eastAsia" w:ascii="Times New Roman" w:hAnsi="Times New Roman" w:eastAsia="楷体_GB2312" w:cs="楷体_GB2312"/>
          <w:kern w:val="2"/>
          <w:sz w:val="32"/>
          <w:szCs w:val="32"/>
          <w:highlight w:val="none"/>
          <w:lang w:val="en-US" w:eastAsia="zh-CN" w:bidi="ar"/>
        </w:rPr>
        <w:t>（一）贵州电网概况</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kern w:val="2"/>
          <w:sz w:val="32"/>
          <w:szCs w:val="32"/>
          <w:highlight w:val="none"/>
          <w:lang w:val="en-US" w:eastAsia="zh-CN" w:bidi="ar"/>
        </w:rPr>
        <w:t>简要分析贵州电网情况。</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楷体_GB2312" w:cs="楷体_GB2312"/>
          <w:kern w:val="2"/>
          <w:sz w:val="32"/>
          <w:szCs w:val="32"/>
          <w:highlight w:val="none"/>
        </w:rPr>
      </w:pPr>
      <w:r>
        <w:rPr>
          <w:rFonts w:hint="eastAsia" w:ascii="Times New Roman" w:hAnsi="Times New Roman" w:eastAsia="楷体_GB2312" w:cs="楷体_GB2312"/>
          <w:kern w:val="2"/>
          <w:sz w:val="32"/>
          <w:szCs w:val="32"/>
          <w:highlight w:val="none"/>
          <w:lang w:val="en-US" w:eastAsia="zh-CN" w:bidi="ar"/>
        </w:rPr>
        <w:t>（二）项目属地电网概况</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kern w:val="2"/>
          <w:sz w:val="32"/>
          <w:szCs w:val="32"/>
          <w:highlight w:val="none"/>
          <w:lang w:val="en-US" w:eastAsia="zh-CN" w:bidi="ar"/>
        </w:rPr>
        <w:t>简要分析项目属地电网情况。</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黑体" w:cs="黑体"/>
          <w:kern w:val="2"/>
          <w:sz w:val="32"/>
          <w:szCs w:val="32"/>
          <w:highlight w:val="none"/>
          <w:lang w:bidi="ar"/>
        </w:rPr>
      </w:pPr>
      <w:r>
        <w:rPr>
          <w:rFonts w:hint="eastAsia" w:ascii="Times New Roman" w:hAnsi="Times New Roman" w:eastAsia="黑体" w:cs="黑体"/>
          <w:kern w:val="2"/>
          <w:sz w:val="32"/>
          <w:szCs w:val="32"/>
          <w:highlight w:val="none"/>
          <w:lang w:val="en-US" w:eastAsia="zh-CN" w:bidi="ar"/>
        </w:rPr>
        <w:t>三、接入系统方案</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kern w:val="2"/>
          <w:sz w:val="32"/>
          <w:szCs w:val="32"/>
          <w:highlight w:val="none"/>
          <w:lang w:val="en-US" w:eastAsia="zh-CN" w:bidi="ar"/>
        </w:rPr>
        <w:t>介绍220千伏及以上电压等级并网项目的接入系统方案，并附接入系统方案示意图和负荷侧相关厂站的主接线示意图。</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黑体" w:cs="黑体"/>
          <w:kern w:val="2"/>
          <w:sz w:val="32"/>
          <w:szCs w:val="32"/>
          <w:highlight w:val="none"/>
        </w:rPr>
      </w:pPr>
      <w:r>
        <w:rPr>
          <w:rFonts w:hint="eastAsia" w:ascii="Times New Roman" w:hAnsi="Times New Roman" w:eastAsia="黑体" w:cs="黑体"/>
          <w:kern w:val="2"/>
          <w:sz w:val="32"/>
          <w:szCs w:val="32"/>
          <w:highlight w:val="none"/>
          <w:lang w:val="en-US" w:eastAsia="zh-CN" w:bidi="ar"/>
        </w:rPr>
        <w:t>四、电气计算分析</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楷体_GB2312" w:cs="楷体_GB2312"/>
          <w:kern w:val="2"/>
          <w:sz w:val="32"/>
          <w:szCs w:val="32"/>
          <w:highlight w:val="none"/>
        </w:rPr>
      </w:pPr>
      <w:r>
        <w:rPr>
          <w:rFonts w:hint="eastAsia" w:ascii="Times New Roman" w:hAnsi="Times New Roman" w:eastAsia="楷体_GB2312" w:cs="楷体_GB2312"/>
          <w:kern w:val="2"/>
          <w:sz w:val="32"/>
          <w:szCs w:val="32"/>
          <w:highlight w:val="none"/>
          <w:lang w:val="en-US" w:eastAsia="zh-CN" w:bidi="ar"/>
        </w:rPr>
        <w:t>（一）潮流计算分析</w:t>
      </w:r>
    </w:p>
    <w:p>
      <w:pPr>
        <w:keepNext w:val="0"/>
        <w:keepLines w:val="0"/>
        <w:widowControl w:val="0"/>
        <w:suppressLineNumbers w:val="0"/>
        <w:overflowPunct/>
        <w:spacing w:before="0" w:beforeAutospacing="0" w:after="0" w:afterAutospacing="0" w:line="560" w:lineRule="exact"/>
        <w:ind w:left="0" w:right="0" w:firstLine="642" w:firstLineChars="200"/>
        <w:jc w:val="both"/>
        <w:rPr>
          <w:rFonts w:hint="eastAsia" w:ascii="Times New Roman" w:hAnsi="Times New Roman" w:eastAsia="仿宋_GB2312" w:cs="仿宋_GB2312"/>
          <w:b/>
          <w:bCs/>
          <w:sz w:val="32"/>
          <w:szCs w:val="32"/>
          <w:highlight w:val="none"/>
          <w:lang w:bidi="ar"/>
        </w:rPr>
      </w:pPr>
      <w:r>
        <w:rPr>
          <w:rFonts w:hint="eastAsia" w:ascii="Times New Roman" w:hAnsi="Times New Roman" w:eastAsia="仿宋_GB2312" w:cs="仿宋_GB2312"/>
          <w:b/>
          <w:bCs/>
          <w:sz w:val="32"/>
          <w:szCs w:val="32"/>
          <w:highlight w:val="none"/>
          <w:lang w:val="en-US" w:eastAsia="zh-CN" w:bidi="ar"/>
        </w:rPr>
        <w:t>1.计算原则</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kern w:val="2"/>
          <w:sz w:val="32"/>
          <w:szCs w:val="32"/>
          <w:highlight w:val="none"/>
          <w:lang w:val="en-US" w:eastAsia="zh-CN" w:bidi="ar"/>
        </w:rPr>
        <w:t>说明计算采用的软件，根据项目的分期投产情况，确定各期的计算水平年、电网接线方式、计算方式及各类电源出力原则等。</w:t>
      </w:r>
    </w:p>
    <w:p>
      <w:pPr>
        <w:keepNext w:val="0"/>
        <w:keepLines w:val="0"/>
        <w:widowControl w:val="0"/>
        <w:suppressLineNumbers w:val="0"/>
        <w:overflowPunct/>
        <w:spacing w:before="0" w:beforeAutospacing="0" w:after="0" w:afterAutospacing="0" w:line="560" w:lineRule="exact"/>
        <w:ind w:left="0" w:right="0" w:firstLine="642" w:firstLineChars="200"/>
        <w:jc w:val="both"/>
        <w:rPr>
          <w:rFonts w:hint="eastAsia" w:ascii="Times New Roman" w:hAnsi="Times New Roman" w:eastAsia="仿宋_GB2312" w:cs="仿宋_GB2312"/>
          <w:b/>
          <w:bCs/>
          <w:sz w:val="32"/>
          <w:szCs w:val="32"/>
          <w:highlight w:val="none"/>
          <w:lang w:bidi="ar"/>
        </w:rPr>
      </w:pPr>
      <w:r>
        <w:rPr>
          <w:rFonts w:hint="eastAsia" w:ascii="Times New Roman" w:hAnsi="Times New Roman" w:eastAsia="仿宋_GB2312" w:cs="仿宋_GB2312"/>
          <w:b/>
          <w:bCs/>
          <w:sz w:val="32"/>
          <w:szCs w:val="32"/>
          <w:highlight w:val="none"/>
          <w:lang w:val="en-US" w:eastAsia="zh-CN" w:bidi="ar"/>
        </w:rPr>
        <w:t>2.潮流计算结果</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kern w:val="2"/>
          <w:sz w:val="32"/>
          <w:szCs w:val="32"/>
          <w:highlight w:val="none"/>
          <w:lang w:val="en-US" w:eastAsia="zh-CN" w:bidi="ar"/>
        </w:rPr>
        <w:t>描述各计算水平年的潮流计算结果，并附结果示意图。</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楷体_GB2312" w:cs="楷体_GB2312"/>
          <w:kern w:val="2"/>
          <w:sz w:val="32"/>
          <w:szCs w:val="32"/>
          <w:highlight w:val="none"/>
        </w:rPr>
      </w:pPr>
      <w:r>
        <w:rPr>
          <w:rFonts w:hint="eastAsia" w:ascii="Times New Roman" w:hAnsi="Times New Roman" w:eastAsia="楷体_GB2312" w:cs="楷体_GB2312"/>
          <w:kern w:val="2"/>
          <w:sz w:val="32"/>
          <w:szCs w:val="32"/>
          <w:highlight w:val="none"/>
          <w:lang w:val="en-US" w:eastAsia="zh-CN" w:bidi="ar"/>
        </w:rPr>
        <w:t>（二）短路电流计算</w:t>
      </w:r>
    </w:p>
    <w:p>
      <w:pPr>
        <w:keepNext w:val="0"/>
        <w:keepLines w:val="0"/>
        <w:widowControl w:val="0"/>
        <w:suppressLineNumbers w:val="0"/>
        <w:overflowPunct/>
        <w:spacing w:before="0" w:beforeAutospacing="0" w:after="0" w:afterAutospacing="0" w:line="560" w:lineRule="exact"/>
        <w:ind w:left="0" w:right="0" w:firstLine="642" w:firstLineChars="200"/>
        <w:jc w:val="both"/>
        <w:rPr>
          <w:rFonts w:hint="eastAsia" w:ascii="Times New Roman" w:hAnsi="Times New Roman" w:eastAsia="仿宋_GB2312" w:cs="仿宋_GB2312"/>
          <w:b/>
          <w:bCs/>
          <w:sz w:val="32"/>
          <w:szCs w:val="32"/>
          <w:highlight w:val="none"/>
          <w:lang w:bidi="ar"/>
        </w:rPr>
      </w:pPr>
      <w:r>
        <w:rPr>
          <w:rFonts w:hint="eastAsia" w:ascii="Times New Roman" w:hAnsi="Times New Roman" w:eastAsia="仿宋_GB2312" w:cs="仿宋_GB2312"/>
          <w:b/>
          <w:bCs/>
          <w:sz w:val="32"/>
          <w:szCs w:val="32"/>
          <w:highlight w:val="none"/>
          <w:lang w:val="en-US" w:eastAsia="zh-CN" w:bidi="ar"/>
        </w:rPr>
        <w:t>1.计算原则</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kern w:val="2"/>
          <w:sz w:val="32"/>
          <w:szCs w:val="32"/>
          <w:highlight w:val="none"/>
          <w:lang w:val="en-US" w:eastAsia="zh-CN" w:bidi="ar"/>
        </w:rPr>
        <w:t>说明计算采用的软件、计算水平年和远景年、电网接线方式等。</w:t>
      </w:r>
    </w:p>
    <w:p>
      <w:pPr>
        <w:keepNext w:val="0"/>
        <w:keepLines w:val="0"/>
        <w:widowControl w:val="0"/>
        <w:suppressLineNumbers w:val="0"/>
        <w:overflowPunct/>
        <w:spacing w:before="0" w:beforeAutospacing="0" w:after="0" w:afterAutospacing="0" w:line="560" w:lineRule="exact"/>
        <w:ind w:left="0" w:right="0" w:firstLine="642" w:firstLineChars="200"/>
        <w:jc w:val="both"/>
        <w:rPr>
          <w:rFonts w:hint="eastAsia" w:ascii="Times New Roman" w:hAnsi="Times New Roman" w:eastAsia="仿宋_GB2312" w:cs="仿宋_GB2312"/>
          <w:b/>
          <w:bCs/>
          <w:sz w:val="32"/>
          <w:szCs w:val="32"/>
          <w:highlight w:val="none"/>
          <w:lang w:bidi="ar"/>
        </w:rPr>
      </w:pPr>
      <w:r>
        <w:rPr>
          <w:rFonts w:hint="eastAsia" w:ascii="Times New Roman" w:hAnsi="Times New Roman" w:eastAsia="仿宋_GB2312" w:cs="仿宋_GB2312"/>
          <w:b/>
          <w:bCs/>
          <w:sz w:val="32"/>
          <w:szCs w:val="32"/>
          <w:highlight w:val="none"/>
          <w:lang w:val="en-US" w:eastAsia="zh-CN" w:bidi="ar"/>
        </w:rPr>
        <w:t>2.短路计算结果</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kern w:val="2"/>
          <w:sz w:val="32"/>
          <w:szCs w:val="32"/>
          <w:highlight w:val="none"/>
          <w:lang w:val="en-US" w:eastAsia="zh-CN" w:bidi="ar"/>
        </w:rPr>
        <w:t>分析绿电直连项目投产后对附近相关厂站短路水平的影响，并附短路计算结果。</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楷体_GB2312" w:cs="楷体_GB2312"/>
          <w:kern w:val="2"/>
          <w:sz w:val="32"/>
          <w:szCs w:val="32"/>
          <w:highlight w:val="none"/>
        </w:rPr>
      </w:pPr>
      <w:r>
        <w:rPr>
          <w:rFonts w:hint="eastAsia" w:ascii="Times New Roman" w:hAnsi="Times New Roman" w:eastAsia="楷体_GB2312" w:cs="楷体_GB2312"/>
          <w:kern w:val="2"/>
          <w:sz w:val="32"/>
          <w:szCs w:val="32"/>
          <w:highlight w:val="none"/>
          <w:lang w:val="en-US" w:eastAsia="zh-CN" w:bidi="ar"/>
        </w:rPr>
        <w:t>（三）稳定计算分析</w:t>
      </w:r>
    </w:p>
    <w:p>
      <w:pPr>
        <w:keepNext w:val="0"/>
        <w:keepLines w:val="0"/>
        <w:widowControl w:val="0"/>
        <w:suppressLineNumbers w:val="0"/>
        <w:overflowPunct/>
        <w:spacing w:before="0" w:beforeAutospacing="0" w:after="0" w:afterAutospacing="0" w:line="560" w:lineRule="exact"/>
        <w:ind w:left="0" w:right="0" w:firstLine="642" w:firstLineChars="200"/>
        <w:jc w:val="both"/>
        <w:rPr>
          <w:rFonts w:hint="eastAsia" w:ascii="Times New Roman" w:hAnsi="Times New Roman" w:eastAsia="仿宋_GB2312" w:cs="仿宋_GB2312"/>
          <w:b/>
          <w:bCs/>
          <w:sz w:val="32"/>
          <w:szCs w:val="32"/>
          <w:highlight w:val="none"/>
          <w:lang w:bidi="ar"/>
        </w:rPr>
      </w:pPr>
      <w:r>
        <w:rPr>
          <w:rFonts w:hint="eastAsia" w:ascii="Times New Roman" w:hAnsi="Times New Roman" w:eastAsia="仿宋_GB2312" w:cs="仿宋_GB2312"/>
          <w:b/>
          <w:bCs/>
          <w:sz w:val="32"/>
          <w:szCs w:val="32"/>
          <w:highlight w:val="none"/>
          <w:lang w:val="en-US" w:eastAsia="zh-CN" w:bidi="ar"/>
        </w:rPr>
        <w:t>1.计算原则</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kern w:val="2"/>
          <w:sz w:val="32"/>
          <w:szCs w:val="32"/>
          <w:highlight w:val="none"/>
          <w:lang w:val="en-US" w:eastAsia="zh-CN" w:bidi="ar"/>
        </w:rPr>
        <w:t>说明计算采用的软件、计算水平年、电网接线方式、计算方式等。</w:t>
      </w:r>
    </w:p>
    <w:p>
      <w:pPr>
        <w:keepNext w:val="0"/>
        <w:keepLines w:val="0"/>
        <w:widowControl w:val="0"/>
        <w:suppressLineNumbers w:val="0"/>
        <w:overflowPunct/>
        <w:spacing w:before="0" w:beforeAutospacing="0" w:after="0" w:afterAutospacing="0" w:line="560" w:lineRule="exact"/>
        <w:ind w:left="0" w:right="0" w:firstLine="642" w:firstLineChars="200"/>
        <w:jc w:val="both"/>
        <w:rPr>
          <w:rFonts w:hint="eastAsia" w:ascii="Times New Roman" w:hAnsi="Times New Roman" w:eastAsia="仿宋_GB2312" w:cs="仿宋_GB2312"/>
          <w:b/>
          <w:bCs/>
          <w:sz w:val="32"/>
          <w:szCs w:val="32"/>
          <w:highlight w:val="none"/>
          <w:lang w:bidi="ar"/>
        </w:rPr>
      </w:pPr>
      <w:r>
        <w:rPr>
          <w:rFonts w:hint="eastAsia" w:ascii="Times New Roman" w:hAnsi="Times New Roman" w:eastAsia="仿宋_GB2312" w:cs="仿宋_GB2312"/>
          <w:b/>
          <w:bCs/>
          <w:sz w:val="32"/>
          <w:szCs w:val="32"/>
          <w:highlight w:val="none"/>
          <w:lang w:val="en-US" w:eastAsia="zh-CN" w:bidi="ar"/>
        </w:rPr>
        <w:t>2.稳定计算结果</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kern w:val="2"/>
          <w:sz w:val="32"/>
          <w:szCs w:val="32"/>
          <w:highlight w:val="none"/>
          <w:lang w:val="en-US" w:eastAsia="zh-CN" w:bidi="ar"/>
        </w:rPr>
        <w:t>描述各计算水平年的稳定计算结果，并附结果示意图。</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楷体_GB2312" w:cs="楷体_GB2312"/>
          <w:kern w:val="2"/>
          <w:sz w:val="32"/>
          <w:szCs w:val="32"/>
          <w:highlight w:val="none"/>
        </w:rPr>
      </w:pPr>
      <w:r>
        <w:rPr>
          <w:rFonts w:hint="eastAsia" w:ascii="Times New Roman" w:hAnsi="Times New Roman" w:eastAsia="楷体_GB2312" w:cs="楷体_GB2312"/>
          <w:kern w:val="2"/>
          <w:sz w:val="32"/>
          <w:szCs w:val="32"/>
          <w:highlight w:val="none"/>
          <w:lang w:val="en-US" w:eastAsia="zh-CN" w:bidi="ar"/>
        </w:rPr>
        <w:t>（四）多场站短路比计算分析</w:t>
      </w:r>
    </w:p>
    <w:p>
      <w:pPr>
        <w:keepNext w:val="0"/>
        <w:keepLines w:val="0"/>
        <w:widowControl w:val="0"/>
        <w:suppressLineNumbers w:val="0"/>
        <w:overflowPunct/>
        <w:spacing w:before="0" w:beforeAutospacing="0" w:after="0" w:afterAutospacing="0" w:line="560" w:lineRule="exact"/>
        <w:ind w:left="0" w:right="0" w:firstLine="642" w:firstLineChars="200"/>
        <w:jc w:val="both"/>
        <w:rPr>
          <w:rFonts w:hint="eastAsia" w:ascii="Times New Roman" w:hAnsi="Times New Roman" w:eastAsia="仿宋_GB2312" w:cs="仿宋_GB2312"/>
          <w:b/>
          <w:bCs/>
          <w:sz w:val="32"/>
          <w:szCs w:val="32"/>
          <w:highlight w:val="none"/>
          <w:lang w:bidi="ar"/>
        </w:rPr>
      </w:pPr>
      <w:r>
        <w:rPr>
          <w:rFonts w:hint="eastAsia" w:ascii="Times New Roman" w:hAnsi="Times New Roman" w:eastAsia="仿宋_GB2312" w:cs="仿宋_GB2312"/>
          <w:b/>
          <w:bCs/>
          <w:sz w:val="32"/>
          <w:szCs w:val="32"/>
          <w:highlight w:val="none"/>
          <w:lang w:val="en-US" w:eastAsia="zh-CN" w:bidi="ar"/>
        </w:rPr>
        <w:t>1.计算原则</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kern w:val="2"/>
          <w:sz w:val="32"/>
          <w:szCs w:val="32"/>
          <w:highlight w:val="none"/>
          <w:lang w:val="en-US" w:eastAsia="zh-CN" w:bidi="ar"/>
        </w:rPr>
        <w:t>说明计算采用的软件、计算水平年、电网接线方式、计算方式等。</w:t>
      </w:r>
    </w:p>
    <w:p>
      <w:pPr>
        <w:keepNext w:val="0"/>
        <w:keepLines w:val="0"/>
        <w:widowControl w:val="0"/>
        <w:suppressLineNumbers w:val="0"/>
        <w:overflowPunct/>
        <w:spacing w:before="0" w:beforeAutospacing="0" w:after="0" w:afterAutospacing="0" w:line="560" w:lineRule="exact"/>
        <w:ind w:left="0" w:right="0" w:firstLine="642" w:firstLineChars="200"/>
        <w:jc w:val="both"/>
        <w:rPr>
          <w:rFonts w:hint="eastAsia" w:ascii="Times New Roman" w:hAnsi="Times New Roman" w:eastAsia="仿宋_GB2312" w:cs="仿宋_GB2312"/>
          <w:b/>
          <w:bCs/>
          <w:sz w:val="32"/>
          <w:szCs w:val="32"/>
          <w:highlight w:val="none"/>
          <w:lang w:bidi="ar"/>
        </w:rPr>
      </w:pPr>
      <w:r>
        <w:rPr>
          <w:rFonts w:hint="eastAsia" w:ascii="Times New Roman" w:hAnsi="Times New Roman" w:eastAsia="仿宋_GB2312" w:cs="仿宋_GB2312"/>
          <w:b/>
          <w:bCs/>
          <w:sz w:val="32"/>
          <w:szCs w:val="32"/>
          <w:highlight w:val="none"/>
          <w:lang w:val="en-US" w:eastAsia="zh-CN" w:bidi="ar"/>
        </w:rPr>
        <w:t>2.短路比计算结果</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kern w:val="2"/>
          <w:sz w:val="32"/>
          <w:szCs w:val="32"/>
          <w:highlight w:val="none"/>
          <w:lang w:val="en-US" w:eastAsia="zh-CN" w:bidi="ar"/>
        </w:rPr>
        <w:t>描述各计算水平年的短路比计算结果。</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黑体" w:cs="黑体"/>
          <w:kern w:val="2"/>
          <w:sz w:val="32"/>
          <w:szCs w:val="32"/>
          <w:highlight w:val="none"/>
        </w:rPr>
      </w:pPr>
      <w:r>
        <w:rPr>
          <w:rFonts w:hint="eastAsia" w:ascii="Times New Roman" w:hAnsi="Times New Roman" w:eastAsia="黑体" w:cs="黑体"/>
          <w:kern w:val="2"/>
          <w:sz w:val="32"/>
          <w:szCs w:val="32"/>
          <w:highlight w:val="none"/>
          <w:lang w:val="en-US" w:eastAsia="zh-CN" w:bidi="ar"/>
        </w:rPr>
        <w:t>五、无功补偿分析</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kern w:val="2"/>
          <w:sz w:val="32"/>
          <w:szCs w:val="32"/>
          <w:highlight w:val="none"/>
          <w:lang w:val="en-US" w:eastAsia="zh-CN" w:bidi="ar"/>
        </w:rPr>
        <w:t>对计算水平年进行无功平衡计算，确定各期无功补偿设备的型式及容量。</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黑体" w:cs="黑体"/>
          <w:kern w:val="2"/>
          <w:sz w:val="32"/>
          <w:szCs w:val="32"/>
          <w:highlight w:val="none"/>
        </w:rPr>
      </w:pPr>
      <w:r>
        <w:rPr>
          <w:rFonts w:hint="eastAsia" w:ascii="Times New Roman" w:hAnsi="Times New Roman" w:eastAsia="黑体" w:cs="黑体"/>
          <w:kern w:val="2"/>
          <w:sz w:val="32"/>
          <w:szCs w:val="32"/>
          <w:highlight w:val="none"/>
          <w:lang w:val="en-US" w:eastAsia="zh-CN" w:bidi="ar"/>
        </w:rPr>
        <w:t>六、电能质量评估</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kern w:val="2"/>
          <w:sz w:val="32"/>
          <w:szCs w:val="32"/>
          <w:highlight w:val="none"/>
          <w:lang w:val="en-US" w:eastAsia="zh-CN" w:bidi="ar"/>
        </w:rPr>
        <w:t>明确电压偏差与电压波动、谐波、三相电压不平衡度、闪变等指标限值；描述电能质量背景测试过程及结果；详细描述电能质量仿真计算，包括但不限于计算条件、仿真模型、谐波计算（配储逆变运行）、三相电压不平衡度计算、电压偏差与电压波动计算、闪变计算。</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黑体" w:cs="黑体"/>
          <w:kern w:val="2"/>
          <w:sz w:val="32"/>
          <w:szCs w:val="32"/>
          <w:highlight w:val="none"/>
        </w:rPr>
      </w:pPr>
      <w:r>
        <w:rPr>
          <w:rFonts w:hint="eastAsia" w:ascii="Times New Roman" w:hAnsi="Times New Roman" w:eastAsia="黑体" w:cs="黑体"/>
          <w:kern w:val="2"/>
          <w:sz w:val="32"/>
          <w:szCs w:val="32"/>
          <w:highlight w:val="none"/>
          <w:lang w:val="en-US" w:eastAsia="zh-CN" w:bidi="ar"/>
        </w:rPr>
        <w:t>七、直连线路交叉跨越方案</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kern w:val="2"/>
          <w:sz w:val="32"/>
          <w:szCs w:val="32"/>
          <w:highlight w:val="none"/>
          <w:lang w:val="en-US" w:eastAsia="zh-CN" w:bidi="ar"/>
        </w:rPr>
        <w:t>详细说明直连线路路径及线路交叉跨越情况（附图）、分析影响并提出解决措施。</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黑体" w:cs="黑体"/>
          <w:kern w:val="2"/>
          <w:sz w:val="32"/>
          <w:szCs w:val="32"/>
          <w:highlight w:val="none"/>
        </w:rPr>
      </w:pPr>
      <w:r>
        <w:rPr>
          <w:rFonts w:hint="eastAsia" w:ascii="Times New Roman" w:hAnsi="Times New Roman" w:eastAsia="黑体" w:cs="黑体"/>
          <w:kern w:val="2"/>
          <w:sz w:val="32"/>
          <w:szCs w:val="32"/>
          <w:highlight w:val="none"/>
          <w:lang w:val="en-US" w:eastAsia="zh-CN" w:bidi="ar"/>
        </w:rPr>
        <w:t>八、结论及应对措施</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kern w:val="2"/>
          <w:sz w:val="32"/>
          <w:szCs w:val="32"/>
          <w:highlight w:val="none"/>
          <w:lang w:val="en-US" w:eastAsia="zh-CN" w:bidi="ar"/>
        </w:rPr>
      </w:pPr>
      <w:r>
        <w:rPr>
          <w:rFonts w:hint="eastAsia" w:ascii="Times New Roman" w:hAnsi="Times New Roman" w:eastAsia="仿宋_GB2312" w:cs="仿宋_GB2312"/>
          <w:kern w:val="2"/>
          <w:sz w:val="32"/>
          <w:szCs w:val="32"/>
          <w:highlight w:val="none"/>
          <w:lang w:val="en-US" w:eastAsia="zh-CN" w:bidi="ar"/>
        </w:rPr>
        <w:t>给出评估结论，分析潜在风险，并提出应对措施。</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0" w:firstLineChars="0"/>
        <w:jc w:val="both"/>
        <w:textAlignment w:val="auto"/>
        <w:rPr>
          <w:rFonts w:hint="eastAsia" w:ascii="Times New Roman" w:hAnsi="Times New Roman" w:eastAsia="黑体" w:cs="黑体"/>
          <w:sz w:val="32"/>
          <w:szCs w:val="32"/>
          <w:highlight w:val="none"/>
          <w:lang w:val="en-US" w:eastAsia="zh-CN"/>
        </w:rPr>
        <w:sectPr>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0" w:firstLineChars="0"/>
        <w:jc w:val="both"/>
        <w:textAlignment w:val="auto"/>
        <w:rPr>
          <w:rFonts w:hint="default"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附件1-2</w:t>
      </w:r>
    </w:p>
    <w:p>
      <w:pPr>
        <w:keepNext w:val="0"/>
        <w:keepLines w:val="0"/>
        <w:widowControl w:val="0"/>
        <w:suppressLineNumbers w:val="0"/>
        <w:overflowPunct/>
        <w:spacing w:before="0" w:beforeAutospacing="0" w:after="0" w:afterAutospacing="0" w:line="640" w:lineRule="exact"/>
        <w:ind w:left="0" w:right="0"/>
        <w:jc w:val="center"/>
        <w:rPr>
          <w:rFonts w:hint="eastAsia" w:ascii="Times New Roman" w:hAnsi="Times New Roman" w:eastAsia="方正小标宋简体" w:cs="方正小标宋简体"/>
          <w:kern w:val="2"/>
          <w:sz w:val="44"/>
          <w:szCs w:val="44"/>
          <w:highlight w:val="none"/>
        </w:rPr>
      </w:pPr>
      <w:r>
        <w:rPr>
          <w:rFonts w:hint="eastAsia" w:ascii="Times New Roman" w:hAnsi="Times New Roman" w:eastAsia="方正小标宋简体" w:cs="方正小标宋简体"/>
          <w:color w:val="auto"/>
          <w:kern w:val="2"/>
          <w:sz w:val="44"/>
          <w:szCs w:val="44"/>
          <w:highlight w:val="none"/>
          <w:lang w:bidi="ar"/>
        </w:rPr>
        <w:t>项目用电调节和有序供应预案</w:t>
      </w:r>
    </w:p>
    <w:p>
      <w:pPr>
        <w:keepNext w:val="0"/>
        <w:keepLines w:val="0"/>
        <w:widowControl w:val="0"/>
        <w:suppressLineNumbers w:val="0"/>
        <w:overflowPunct/>
        <w:spacing w:before="0" w:beforeAutospacing="0" w:after="0" w:afterAutospacing="0" w:line="560" w:lineRule="exact"/>
        <w:ind w:left="0" w:right="0" w:firstLine="0" w:firstLineChars="0"/>
        <w:jc w:val="center"/>
        <w:rPr>
          <w:rFonts w:hint="eastAsia" w:ascii="Times New Roman" w:hAnsi="Times New Roman" w:eastAsia="仿宋_GB2312" w:cs="仿宋_GB2312"/>
          <w:kern w:val="2"/>
          <w:sz w:val="32"/>
          <w:szCs w:val="32"/>
          <w:highlight w:val="none"/>
        </w:rPr>
      </w:pP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黑体" w:cs="黑体"/>
          <w:sz w:val="32"/>
          <w:szCs w:val="32"/>
          <w:highlight w:val="none"/>
          <w:lang w:bidi="ar"/>
        </w:rPr>
      </w:pPr>
      <w:r>
        <w:rPr>
          <w:rFonts w:hint="eastAsia" w:ascii="Times New Roman" w:hAnsi="Times New Roman" w:eastAsia="黑体" w:cs="黑体"/>
          <w:sz w:val="32"/>
          <w:szCs w:val="32"/>
          <w:highlight w:val="none"/>
          <w:lang w:bidi="ar"/>
        </w:rPr>
        <w:t>一、项目概况</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楷体_GB2312" w:cs="楷体_GB2312"/>
          <w:sz w:val="32"/>
          <w:szCs w:val="32"/>
          <w:highlight w:val="none"/>
          <w:lang w:bidi="ar"/>
        </w:rPr>
      </w:pPr>
      <w:r>
        <w:rPr>
          <w:rFonts w:hint="eastAsia" w:ascii="Times New Roman" w:hAnsi="Times New Roman" w:eastAsia="楷体_GB2312" w:cs="楷体_GB2312"/>
          <w:sz w:val="32"/>
          <w:szCs w:val="32"/>
          <w:highlight w:val="none"/>
          <w:lang w:bidi="ar"/>
        </w:rPr>
        <w:t>（一）企业概况</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sz w:val="32"/>
          <w:szCs w:val="32"/>
          <w:highlight w:val="none"/>
          <w:lang w:bidi="ar"/>
        </w:rPr>
      </w:pPr>
      <w:r>
        <w:rPr>
          <w:rFonts w:hint="eastAsia" w:ascii="Times New Roman" w:hAnsi="Times New Roman" w:eastAsia="仿宋_GB2312" w:cs="仿宋_GB2312"/>
          <w:sz w:val="32"/>
          <w:szCs w:val="32"/>
          <w:highlight w:val="none"/>
          <w:lang w:bidi="ar"/>
        </w:rPr>
        <w:t>简述项目主责单位、电源及负荷企业基本信息、发展现状、财务状况、企业信用和总体能力，有关政府部门支持性文件和项目融资等情况，并简述园区企业及负荷情况。</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楷体_GB2312" w:cs="楷体_GB2312"/>
          <w:sz w:val="32"/>
          <w:szCs w:val="32"/>
          <w:highlight w:val="none"/>
          <w:lang w:bidi="ar"/>
        </w:rPr>
      </w:pPr>
      <w:r>
        <w:rPr>
          <w:rFonts w:hint="eastAsia" w:ascii="Times New Roman" w:hAnsi="Times New Roman" w:eastAsia="楷体_GB2312" w:cs="楷体_GB2312"/>
          <w:sz w:val="32"/>
          <w:szCs w:val="32"/>
          <w:highlight w:val="none"/>
          <w:lang w:bidi="ar"/>
        </w:rPr>
        <w:t>（二）项目基本情况</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sz w:val="32"/>
          <w:szCs w:val="32"/>
          <w:highlight w:val="none"/>
          <w:lang w:bidi="ar"/>
        </w:rPr>
      </w:pPr>
      <w:r>
        <w:rPr>
          <w:rFonts w:hint="eastAsia" w:ascii="Times New Roman" w:hAnsi="Times New Roman" w:eastAsia="仿宋_GB2312" w:cs="仿宋_GB2312"/>
          <w:sz w:val="32"/>
          <w:szCs w:val="32"/>
          <w:highlight w:val="none"/>
          <w:lang w:bidi="ar"/>
        </w:rPr>
        <w:t>说明项目位置、项目类型（并网型或离网型）、建设内容、建设时序和规模（包含负荷、电源、储能、直连线路、接网工程等）等基本信息。明确项目主责单位的构成、投资规模、建设模式（自投、合资、合同能源管理等）、各方权利责任等。</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楷体_GB2312" w:cs="楷体_GB2312"/>
          <w:sz w:val="32"/>
          <w:szCs w:val="32"/>
          <w:highlight w:val="none"/>
          <w:lang w:bidi="ar"/>
        </w:rPr>
      </w:pPr>
      <w:r>
        <w:rPr>
          <w:rFonts w:hint="eastAsia" w:ascii="Times New Roman" w:hAnsi="Times New Roman" w:eastAsia="楷体_GB2312" w:cs="楷体_GB2312"/>
          <w:sz w:val="32"/>
          <w:szCs w:val="32"/>
          <w:highlight w:val="none"/>
          <w:lang w:bidi="ar"/>
        </w:rPr>
        <w:t>（三）应急基础情况</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sz w:val="32"/>
          <w:szCs w:val="32"/>
          <w:highlight w:val="none"/>
          <w:lang w:bidi="ar"/>
        </w:rPr>
      </w:pPr>
      <w:r>
        <w:rPr>
          <w:rFonts w:hint="eastAsia" w:ascii="Times New Roman" w:hAnsi="Times New Roman" w:eastAsia="仿宋_GB2312" w:cs="仿宋_GB2312"/>
          <w:sz w:val="32"/>
          <w:szCs w:val="32"/>
          <w:highlight w:val="none"/>
          <w:lang w:bidi="ar"/>
        </w:rPr>
        <w:t>简述项目在应急管理方面的基础条件，应急系统设置情况、应急组织架构的设置情况、相关岗位人员的配备与职责分工，以及各类应急物资储备现状。</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黑体" w:cs="黑体"/>
          <w:sz w:val="32"/>
          <w:szCs w:val="32"/>
          <w:highlight w:val="none"/>
          <w:lang w:bidi="ar"/>
        </w:rPr>
      </w:pPr>
      <w:r>
        <w:rPr>
          <w:rFonts w:hint="eastAsia" w:ascii="Times New Roman" w:hAnsi="Times New Roman" w:eastAsia="黑体" w:cs="黑体"/>
          <w:sz w:val="32"/>
          <w:szCs w:val="32"/>
          <w:highlight w:val="none"/>
          <w:lang w:bidi="ar"/>
        </w:rPr>
        <w:t>二、应急场景识别分级</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sz w:val="32"/>
          <w:szCs w:val="32"/>
          <w:highlight w:val="none"/>
          <w:lang w:bidi="ar"/>
        </w:rPr>
      </w:pPr>
      <w:r>
        <w:rPr>
          <w:rFonts w:hint="eastAsia" w:ascii="Times New Roman" w:hAnsi="Times New Roman" w:eastAsia="仿宋_GB2312" w:cs="仿宋_GB2312"/>
          <w:sz w:val="32"/>
          <w:szCs w:val="32"/>
          <w:highlight w:val="none"/>
          <w:lang w:bidi="ar"/>
        </w:rPr>
        <w:t>从电源侧、负荷侧、储能侧、线路侧等多个维度梳理各类应急场景，明确各场景的触发条件、影响范围及风险等级。按照事故影响范围、停电时长、经济损失及安全风险程度，将应急响应划分等级，明确各等级的量化分级标准、响应启动权限及信息上报时限。</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黑体" w:cs="黑体"/>
          <w:sz w:val="32"/>
          <w:szCs w:val="32"/>
          <w:highlight w:val="none"/>
          <w:lang w:bidi="ar"/>
        </w:rPr>
      </w:pPr>
      <w:r>
        <w:rPr>
          <w:rFonts w:hint="eastAsia" w:ascii="Times New Roman" w:hAnsi="Times New Roman" w:eastAsia="黑体" w:cs="黑体"/>
          <w:sz w:val="32"/>
          <w:szCs w:val="32"/>
          <w:highlight w:val="none"/>
          <w:lang w:bidi="ar"/>
        </w:rPr>
        <w:t>三、内部用电调节方案</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楷体_GB2312" w:cs="楷体_GB2312"/>
          <w:sz w:val="32"/>
          <w:szCs w:val="32"/>
          <w:highlight w:val="none"/>
          <w:lang w:bidi="ar"/>
        </w:rPr>
      </w:pPr>
      <w:r>
        <w:rPr>
          <w:rFonts w:hint="eastAsia" w:ascii="Times New Roman" w:hAnsi="Times New Roman" w:eastAsia="楷体_GB2312" w:cs="楷体_GB2312"/>
          <w:sz w:val="32"/>
          <w:szCs w:val="32"/>
          <w:highlight w:val="none"/>
          <w:lang w:bidi="ar"/>
        </w:rPr>
        <w:t>（一）源荷储协同调节总体原则</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sz w:val="32"/>
          <w:szCs w:val="32"/>
          <w:highlight w:val="none"/>
          <w:lang w:bidi="ar"/>
        </w:rPr>
      </w:pPr>
      <w:r>
        <w:rPr>
          <w:rFonts w:hint="eastAsia" w:ascii="Times New Roman" w:hAnsi="Times New Roman" w:eastAsia="仿宋_GB2312" w:cs="仿宋_GB2312"/>
          <w:sz w:val="32"/>
          <w:szCs w:val="32"/>
          <w:highlight w:val="none"/>
          <w:lang w:bidi="ar"/>
        </w:rPr>
        <w:t>明确内部源荷储自平衡的调节思路，以保障安全、负荷分级、责任分摊的总体原则，说明调节目标、调控范围和次序。</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楷体_GB2312" w:cs="楷体_GB2312"/>
          <w:sz w:val="32"/>
          <w:szCs w:val="32"/>
          <w:highlight w:val="none"/>
          <w:lang w:bidi="ar"/>
        </w:rPr>
      </w:pPr>
      <w:r>
        <w:rPr>
          <w:rFonts w:hint="eastAsia" w:ascii="Times New Roman" w:hAnsi="Times New Roman" w:eastAsia="楷体_GB2312" w:cs="楷体_GB2312"/>
          <w:sz w:val="32"/>
          <w:szCs w:val="32"/>
          <w:highlight w:val="none"/>
          <w:lang w:bidi="ar"/>
        </w:rPr>
        <w:t>（二）内部智能微电网建设方案</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sz w:val="32"/>
          <w:szCs w:val="32"/>
          <w:highlight w:val="none"/>
          <w:lang w:bidi="ar"/>
        </w:rPr>
      </w:pPr>
      <w:r>
        <w:rPr>
          <w:rFonts w:hint="eastAsia" w:ascii="Times New Roman" w:hAnsi="Times New Roman" w:eastAsia="仿宋_GB2312" w:cs="仿宋_GB2312"/>
          <w:sz w:val="32"/>
          <w:szCs w:val="32"/>
          <w:highlight w:val="none"/>
          <w:lang w:bidi="ar"/>
        </w:rPr>
        <w:t>阐述内部智能微电网建设情况与源网荷储自平衡、自调节能力实现路径，明确多用户小时级绿电溯源技术方案。结合电力市场建设情况，具备“报量报价”参与电力现货市场的能力。</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楷体_GB2312" w:cs="楷体_GB2312"/>
          <w:sz w:val="32"/>
          <w:szCs w:val="32"/>
          <w:highlight w:val="none"/>
          <w:lang w:bidi="ar"/>
        </w:rPr>
      </w:pPr>
      <w:r>
        <w:rPr>
          <w:rFonts w:hint="eastAsia" w:ascii="Times New Roman" w:hAnsi="Times New Roman" w:eastAsia="楷体_GB2312" w:cs="楷体_GB2312"/>
          <w:sz w:val="32"/>
          <w:szCs w:val="32"/>
          <w:highlight w:val="none"/>
          <w:lang w:bidi="ar"/>
        </w:rPr>
        <w:t>（三）核心调节方案及措施</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sz w:val="32"/>
          <w:szCs w:val="32"/>
          <w:highlight w:val="none"/>
          <w:lang w:bidi="ar"/>
        </w:rPr>
      </w:pPr>
      <w:r>
        <w:rPr>
          <w:rFonts w:hint="eastAsia" w:ascii="Times New Roman" w:hAnsi="Times New Roman" w:eastAsia="仿宋_GB2312" w:cs="仿宋_GB2312"/>
          <w:sz w:val="32"/>
          <w:szCs w:val="32"/>
          <w:highlight w:val="none"/>
          <w:lang w:bidi="ar"/>
        </w:rPr>
        <w:t>针对不同应急场景下引起的新能源出力不足、公共电网中断、消纳困难时段禁止反送电等场景，分别制定内部电力调度方案。</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黑体" w:cs="黑体"/>
          <w:sz w:val="32"/>
          <w:szCs w:val="32"/>
          <w:highlight w:val="none"/>
          <w:lang w:bidi="ar"/>
        </w:rPr>
      </w:pPr>
      <w:r>
        <w:rPr>
          <w:rFonts w:hint="eastAsia" w:ascii="Times New Roman" w:hAnsi="Times New Roman" w:eastAsia="黑体" w:cs="黑体"/>
          <w:sz w:val="32"/>
          <w:szCs w:val="32"/>
          <w:highlight w:val="none"/>
          <w:lang w:bidi="ar"/>
        </w:rPr>
        <w:t>四、内部有序供应方案</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楷体_GB2312" w:cs="楷体_GB2312"/>
          <w:sz w:val="32"/>
          <w:szCs w:val="32"/>
          <w:highlight w:val="none"/>
          <w:lang w:bidi="ar"/>
        </w:rPr>
      </w:pPr>
      <w:r>
        <w:rPr>
          <w:rFonts w:hint="eastAsia" w:ascii="Times New Roman" w:hAnsi="Times New Roman" w:eastAsia="楷体_GB2312" w:cs="楷体_GB2312"/>
          <w:sz w:val="32"/>
          <w:szCs w:val="32"/>
          <w:highlight w:val="none"/>
          <w:lang w:bidi="ar"/>
        </w:rPr>
        <w:t>（一）负荷分级与保供优先级</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sz w:val="32"/>
          <w:szCs w:val="32"/>
          <w:highlight w:val="none"/>
          <w:lang w:bidi="ar"/>
        </w:rPr>
      </w:pPr>
      <w:r>
        <w:rPr>
          <w:rFonts w:hint="eastAsia" w:ascii="Times New Roman" w:hAnsi="Times New Roman" w:eastAsia="仿宋_GB2312" w:cs="仿宋_GB2312"/>
          <w:sz w:val="32"/>
          <w:szCs w:val="32"/>
          <w:highlight w:val="none"/>
          <w:lang w:bidi="ar"/>
        </w:rPr>
        <w:t>明确项目内部负荷分级依据，开展负荷分类管理（例如明确一级重要保障负荷、二级重要保障负荷、三级可调节负荷范围等），列明负荷分类管理清单，确定保供顺序。</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楷体_GB2312" w:cs="楷体_GB2312"/>
          <w:sz w:val="32"/>
          <w:szCs w:val="32"/>
          <w:highlight w:val="none"/>
          <w:lang w:bidi="ar"/>
        </w:rPr>
      </w:pPr>
      <w:r>
        <w:rPr>
          <w:rFonts w:hint="eastAsia" w:ascii="Times New Roman" w:hAnsi="Times New Roman" w:eastAsia="楷体_GB2312" w:cs="楷体_GB2312"/>
          <w:sz w:val="32"/>
          <w:szCs w:val="32"/>
          <w:highlight w:val="none"/>
          <w:lang w:bidi="ar"/>
        </w:rPr>
        <w:t>（二）分级有序用电安排</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sz w:val="32"/>
          <w:szCs w:val="32"/>
          <w:highlight w:val="none"/>
          <w:lang w:bidi="ar"/>
        </w:rPr>
      </w:pPr>
      <w:r>
        <w:rPr>
          <w:rFonts w:hint="eastAsia" w:ascii="Times New Roman" w:hAnsi="Times New Roman" w:eastAsia="仿宋_GB2312" w:cs="仿宋_GB2312"/>
          <w:sz w:val="32"/>
          <w:szCs w:val="32"/>
          <w:highlight w:val="none"/>
          <w:lang w:bidi="ar"/>
        </w:rPr>
        <w:t>明确不同级别负荷有序用电规则，明确限电序位、削减比例、执行步骤、操作节点，确保公平、可执行、可监管。</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sz w:val="32"/>
          <w:szCs w:val="32"/>
          <w:highlight w:val="none"/>
          <w:lang w:bidi="ar"/>
        </w:rPr>
      </w:pPr>
      <w:r>
        <w:rPr>
          <w:rFonts w:hint="eastAsia" w:ascii="Times New Roman" w:hAnsi="Times New Roman" w:eastAsia="仿宋_GB2312" w:cs="仿宋_GB2312"/>
          <w:sz w:val="32"/>
          <w:szCs w:val="32"/>
          <w:highlight w:val="none"/>
          <w:lang w:bidi="ar"/>
        </w:rPr>
        <w:t>明确出现影响公共电网安全的突发紧急情况时，项目整体和内部电源接受电力调度机构统一调度，按要求参与需求响应、有序用电、紧急负荷控制，相关设备及负荷纳入</w:t>
      </w:r>
      <w:r>
        <w:rPr>
          <w:rFonts w:hint="eastAsia" w:ascii="Times New Roman" w:hAnsi="Times New Roman" w:eastAsia="仿宋_GB2312" w:cs="仿宋_GB2312"/>
          <w:sz w:val="32"/>
          <w:szCs w:val="32"/>
          <w:highlight w:val="none"/>
          <w:lang w:val="en-US" w:eastAsia="zh-CN" w:bidi="ar"/>
        </w:rPr>
        <w:t>贵州</w:t>
      </w:r>
      <w:r>
        <w:rPr>
          <w:rFonts w:hint="eastAsia" w:ascii="Times New Roman" w:hAnsi="Times New Roman" w:eastAsia="仿宋_GB2312" w:cs="仿宋_GB2312"/>
          <w:sz w:val="32"/>
          <w:szCs w:val="32"/>
          <w:highlight w:val="none"/>
          <w:lang w:bidi="ar"/>
        </w:rPr>
        <w:t>电网紧急负荷控制序位表。</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楷体_GB2312" w:cs="楷体_GB2312"/>
          <w:sz w:val="32"/>
          <w:szCs w:val="32"/>
          <w:highlight w:val="none"/>
          <w:lang w:bidi="ar"/>
        </w:rPr>
      </w:pPr>
      <w:r>
        <w:rPr>
          <w:rFonts w:hint="eastAsia" w:ascii="Times New Roman" w:hAnsi="Times New Roman" w:eastAsia="楷体_GB2312" w:cs="楷体_GB2312"/>
          <w:sz w:val="32"/>
          <w:szCs w:val="32"/>
          <w:highlight w:val="none"/>
          <w:lang w:bidi="ar"/>
        </w:rPr>
        <w:t>（三）供电恢复与动态调整</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sz w:val="32"/>
          <w:szCs w:val="32"/>
          <w:highlight w:val="none"/>
          <w:lang w:bidi="ar"/>
        </w:rPr>
      </w:pPr>
      <w:r>
        <w:rPr>
          <w:rFonts w:hint="eastAsia" w:ascii="Times New Roman" w:hAnsi="Times New Roman" w:eastAsia="仿宋_GB2312" w:cs="仿宋_GB2312"/>
          <w:sz w:val="32"/>
          <w:szCs w:val="32"/>
          <w:highlight w:val="none"/>
          <w:lang w:bidi="ar"/>
        </w:rPr>
        <w:t>说明故障排除、供电能力恢复后的负荷恢复次序、启动条件与调控流程，明确项目主责单位与电网调度机构、内部电源及负荷用户间的信息互通与协同调控方式。</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黑体" w:cs="黑体"/>
          <w:sz w:val="32"/>
          <w:szCs w:val="32"/>
          <w:highlight w:val="none"/>
          <w:lang w:bidi="ar"/>
        </w:rPr>
      </w:pPr>
      <w:r>
        <w:rPr>
          <w:rFonts w:hint="eastAsia" w:ascii="Times New Roman" w:hAnsi="Times New Roman" w:eastAsia="黑体" w:cs="黑体"/>
          <w:sz w:val="32"/>
          <w:szCs w:val="32"/>
          <w:highlight w:val="none"/>
          <w:lang w:bidi="ar"/>
        </w:rPr>
        <w:t>五、安全与经济责任</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sz w:val="32"/>
          <w:szCs w:val="32"/>
          <w:highlight w:val="none"/>
          <w:lang w:bidi="ar"/>
        </w:rPr>
      </w:pPr>
      <w:r>
        <w:rPr>
          <w:rFonts w:hint="eastAsia" w:ascii="Times New Roman" w:hAnsi="Times New Roman" w:eastAsia="仿宋_GB2312" w:cs="仿宋_GB2312"/>
          <w:sz w:val="32"/>
          <w:szCs w:val="32"/>
          <w:highlight w:val="none"/>
          <w:lang w:bidi="ar"/>
        </w:rPr>
        <w:t>按照事故影响范围、停电时长、经济损失及安全风险程度确定的应急响应等级，明确内部相关安全和经济责任，确定相应的经济补偿标准、违约责任，并签订安全和经济责任协议。</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黑体" w:cs="黑体"/>
          <w:sz w:val="32"/>
          <w:szCs w:val="32"/>
          <w:highlight w:val="none"/>
          <w:lang w:bidi="ar"/>
        </w:rPr>
      </w:pPr>
      <w:r>
        <w:rPr>
          <w:rFonts w:hint="eastAsia" w:ascii="Times New Roman" w:hAnsi="Times New Roman" w:eastAsia="黑体" w:cs="黑体"/>
          <w:sz w:val="32"/>
          <w:szCs w:val="32"/>
          <w:highlight w:val="none"/>
          <w:lang w:bidi="ar"/>
        </w:rPr>
        <w:t>六、保障措施</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仿宋_GB2312" w:cs="仿宋_GB2312"/>
          <w:sz w:val="32"/>
          <w:szCs w:val="32"/>
          <w:highlight w:val="none"/>
          <w:lang w:bidi="ar"/>
        </w:rPr>
      </w:pPr>
      <w:r>
        <w:rPr>
          <w:rFonts w:hint="eastAsia" w:ascii="Times New Roman" w:hAnsi="Times New Roman" w:eastAsia="仿宋_GB2312" w:cs="仿宋_GB2312"/>
          <w:sz w:val="32"/>
          <w:szCs w:val="32"/>
          <w:highlight w:val="none"/>
          <w:lang w:bidi="ar"/>
        </w:rPr>
        <w:t>明确组织与人员保障、物资装备与技术保障、资金与演练机制保障等措施。</w:t>
      </w:r>
    </w:p>
    <w:p>
      <w:pPr>
        <w:keepNext w:val="0"/>
        <w:keepLines w:val="0"/>
        <w:widowControl w:val="0"/>
        <w:suppressLineNumbers w:val="0"/>
        <w:overflowPunct/>
        <w:spacing w:before="0" w:beforeAutospacing="0" w:after="0" w:afterAutospacing="0" w:line="560" w:lineRule="exact"/>
        <w:ind w:left="0" w:right="0" w:firstLine="640" w:firstLineChars="200"/>
        <w:jc w:val="both"/>
        <w:rPr>
          <w:rFonts w:hint="eastAsia" w:ascii="Times New Roman" w:hAnsi="Times New Roman" w:eastAsia="黑体" w:cs="黑体"/>
          <w:sz w:val="32"/>
          <w:szCs w:val="32"/>
          <w:highlight w:val="none"/>
          <w:lang w:bidi="ar"/>
        </w:rPr>
      </w:pPr>
      <w:r>
        <w:rPr>
          <w:rFonts w:hint="eastAsia" w:ascii="Times New Roman" w:hAnsi="Times New Roman" w:eastAsia="黑体" w:cs="黑体"/>
          <w:sz w:val="32"/>
          <w:szCs w:val="32"/>
          <w:highlight w:val="none"/>
          <w:lang w:bidi="ar"/>
        </w:rPr>
        <w:t>七、附件材料</w:t>
      </w:r>
    </w:p>
    <w:p>
      <w:pPr>
        <w:keepNext w:val="0"/>
        <w:keepLines w:val="0"/>
        <w:widowControl w:val="0"/>
        <w:suppressLineNumbers w:val="0"/>
        <w:overflowPunct/>
        <w:spacing w:before="0" w:beforeAutospacing="0" w:after="0" w:afterAutospacing="0" w:line="560" w:lineRule="exact"/>
        <w:ind w:left="0" w:right="0" w:firstLine="642" w:firstLineChars="200"/>
        <w:jc w:val="both"/>
        <w:rPr>
          <w:rFonts w:hint="eastAsia" w:ascii="Times New Roman" w:hAnsi="Times New Roman" w:eastAsia="仿宋_GB2312" w:cs="仿宋_GB2312"/>
          <w:sz w:val="32"/>
          <w:szCs w:val="32"/>
          <w:highlight w:val="none"/>
          <w:lang w:bidi="ar"/>
        </w:rPr>
      </w:pPr>
      <w:r>
        <w:rPr>
          <w:rFonts w:hint="eastAsia" w:ascii="Times New Roman" w:hAnsi="Times New Roman" w:eastAsia="仿宋_GB2312" w:cs="仿宋_GB2312"/>
          <w:b/>
          <w:bCs/>
          <w:sz w:val="32"/>
          <w:szCs w:val="32"/>
          <w:highlight w:val="none"/>
          <w:lang w:bidi="ar"/>
        </w:rPr>
        <w:t>1.</w:t>
      </w:r>
      <w:r>
        <w:rPr>
          <w:rFonts w:hint="eastAsia" w:ascii="Times New Roman" w:hAnsi="Times New Roman" w:eastAsia="仿宋_GB2312" w:cs="仿宋_GB2312"/>
          <w:sz w:val="32"/>
          <w:szCs w:val="32"/>
          <w:highlight w:val="none"/>
          <w:lang w:bidi="ar"/>
        </w:rPr>
        <w:t>用户分级及负荷分类管理清单（包含但不限于：负荷类型、用电负荷、用电量等关键信息）</w:t>
      </w:r>
    </w:p>
    <w:p>
      <w:pPr>
        <w:keepNext w:val="0"/>
        <w:keepLines w:val="0"/>
        <w:widowControl w:val="0"/>
        <w:suppressLineNumbers w:val="0"/>
        <w:overflowPunct/>
        <w:spacing w:before="0" w:beforeAutospacing="0" w:after="0" w:afterAutospacing="0" w:line="560" w:lineRule="exact"/>
        <w:ind w:left="0" w:right="0" w:firstLine="642" w:firstLineChars="200"/>
        <w:jc w:val="both"/>
        <w:rPr>
          <w:rFonts w:hint="eastAsia" w:ascii="Times New Roman" w:hAnsi="Times New Roman" w:eastAsia="仿宋_GB2312" w:cs="仿宋_GB2312"/>
          <w:sz w:val="32"/>
          <w:szCs w:val="32"/>
          <w:highlight w:val="none"/>
          <w:lang w:bidi="ar"/>
        </w:rPr>
      </w:pPr>
      <w:r>
        <w:rPr>
          <w:rFonts w:hint="eastAsia" w:ascii="Times New Roman" w:hAnsi="Times New Roman" w:eastAsia="仿宋_GB2312" w:cs="仿宋_GB2312"/>
          <w:b/>
          <w:bCs/>
          <w:sz w:val="32"/>
          <w:szCs w:val="32"/>
          <w:highlight w:val="none"/>
          <w:lang w:bidi="ar"/>
        </w:rPr>
        <w:t>2.</w:t>
      </w:r>
      <w:r>
        <w:rPr>
          <w:rFonts w:hint="eastAsia" w:ascii="Times New Roman" w:hAnsi="Times New Roman" w:eastAsia="仿宋_GB2312" w:cs="仿宋_GB2312"/>
          <w:sz w:val="32"/>
          <w:szCs w:val="32"/>
          <w:highlight w:val="none"/>
          <w:lang w:bidi="ar"/>
        </w:rPr>
        <w:t>应急处置流程图</w:t>
      </w:r>
    </w:p>
    <w:p>
      <w:pPr>
        <w:keepNext w:val="0"/>
        <w:keepLines w:val="0"/>
        <w:widowControl w:val="0"/>
        <w:suppressLineNumbers w:val="0"/>
        <w:overflowPunct/>
        <w:spacing w:before="0" w:beforeAutospacing="0" w:after="0" w:afterAutospacing="0" w:line="560" w:lineRule="exact"/>
        <w:ind w:left="0" w:right="0" w:firstLine="642" w:firstLineChars="200"/>
        <w:jc w:val="both"/>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b/>
          <w:bCs/>
          <w:sz w:val="32"/>
          <w:szCs w:val="32"/>
          <w:highlight w:val="none"/>
          <w:lang w:bidi="ar"/>
        </w:rPr>
        <w:t>3.</w:t>
      </w:r>
      <w:r>
        <w:rPr>
          <w:rFonts w:hint="eastAsia" w:ascii="Times New Roman" w:hAnsi="Times New Roman" w:eastAsia="仿宋_GB2312" w:cs="仿宋_GB2312"/>
          <w:sz w:val="32"/>
          <w:szCs w:val="32"/>
          <w:highlight w:val="none"/>
          <w:lang w:bidi="ar"/>
        </w:rPr>
        <w:t>安全和经济责任协议（提供签字盖章原件）</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kern w:val="2"/>
          <w:sz w:val="32"/>
          <w:szCs w:val="32"/>
          <w:highlight w:val="none"/>
          <w:lang w:val="en-US" w:eastAsia="zh-CN" w:bidi="ar"/>
        </w:rPr>
        <w:sectPr>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outlineLvl w:val="9"/>
        <w:rPr>
          <w:rFonts w:hint="eastAsia" w:ascii="Times New Roman" w:hAnsi="Times New Roman" w:eastAsia="黑体" w:cs="黑体"/>
          <w:szCs w:val="28"/>
          <w:highlight w:val="none"/>
          <w:shd w:val="clear" w:color="auto" w:fill="auto"/>
        </w:rPr>
      </w:pPr>
      <w:r>
        <w:rPr>
          <w:rFonts w:hint="eastAsia" w:ascii="Times New Roman" w:hAnsi="Times New Roman" w:eastAsia="黑体" w:cs="黑体"/>
          <w:sz w:val="28"/>
          <w:szCs w:val="24"/>
          <w:highlight w:val="none"/>
          <w:shd w:val="clear" w:color="auto" w:fill="auto"/>
        </w:rPr>
        <w:t>附件</w:t>
      </w:r>
      <w:r>
        <w:rPr>
          <w:rFonts w:hint="default" w:ascii="Times New Roman" w:hAnsi="Times New Roman" w:eastAsia="黑体" w:cs="Times New Roman"/>
          <w:sz w:val="28"/>
          <w:szCs w:val="24"/>
          <w:highlight w:val="none"/>
          <w:shd w:val="clear" w:color="auto" w:fill="auto"/>
        </w:rPr>
        <w:t>2</w:t>
      </w:r>
    </w:p>
    <w:p>
      <w:pPr>
        <w:adjustRightInd/>
        <w:snapToGrid/>
        <w:spacing w:line="640" w:lineRule="exact"/>
        <w:ind w:firstLine="0" w:firstLineChars="0"/>
        <w:jc w:val="center"/>
        <w:rPr>
          <w:rFonts w:hint="eastAsia" w:ascii="Times New Roman" w:hAnsi="Times New Roman" w:eastAsia="方正小标宋简体" w:cs="方正小标宋简体"/>
          <w:sz w:val="44"/>
          <w:szCs w:val="44"/>
          <w:highlight w:val="none"/>
        </w:rPr>
      </w:pPr>
      <w:r>
        <w:rPr>
          <w:rFonts w:hint="eastAsia" w:ascii="Times New Roman" w:hAnsi="Times New Roman" w:eastAsia="方正小标宋简体" w:cs="方正小标宋简体"/>
          <w:b w:val="0"/>
          <w:bCs w:val="0"/>
          <w:sz w:val="44"/>
          <w:szCs w:val="44"/>
          <w:highlight w:val="none"/>
          <w:shd w:val="clear"/>
        </w:rPr>
        <w:t>绿电直连项目</w:t>
      </w:r>
      <w:r>
        <w:rPr>
          <w:rFonts w:hint="eastAsia" w:ascii="Times New Roman" w:hAnsi="Times New Roman" w:eastAsia="方正小标宋简体" w:cs="方正小标宋简体"/>
          <w:b w:val="0"/>
          <w:bCs w:val="0"/>
          <w:sz w:val="44"/>
          <w:szCs w:val="44"/>
          <w:highlight w:val="none"/>
          <w:shd w:val="clear"/>
          <w:lang w:val="en-US" w:eastAsia="zh-CN"/>
        </w:rPr>
        <w:t>申报</w:t>
      </w:r>
      <w:r>
        <w:rPr>
          <w:rFonts w:hint="eastAsia" w:ascii="Times New Roman" w:hAnsi="Times New Roman" w:eastAsia="方正小标宋简体" w:cs="方正小标宋简体"/>
          <w:b w:val="0"/>
          <w:bCs w:val="0"/>
          <w:sz w:val="44"/>
          <w:szCs w:val="44"/>
          <w:highlight w:val="none"/>
          <w:shd w:val="clear"/>
        </w:rPr>
        <w:t>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5"/>
        <w:gridCol w:w="2606"/>
        <w:gridCol w:w="1923"/>
        <w:gridCol w:w="21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9061" w:type="dxa"/>
            <w:gridSpan w:val="4"/>
            <w:noWrap w:val="0"/>
            <w:vAlign w:val="top"/>
          </w:tcPr>
          <w:p>
            <w:pPr>
              <w:adjustRightInd/>
              <w:snapToGrid/>
              <w:spacing w:line="440" w:lineRule="exact"/>
              <w:ind w:firstLine="0" w:firstLineChars="0"/>
              <w:jc w:val="center"/>
              <w:rPr>
                <w:rFonts w:ascii="Times New Roman" w:hAnsi="Times New Roman" w:eastAsia="黑体" w:cs="方正仿宋_GB2312"/>
                <w:sz w:val="24"/>
                <w:highlight w:val="none"/>
                <w:shd w:val="clear" w:color="auto" w:fill="auto"/>
              </w:rPr>
            </w:pPr>
            <w:r>
              <w:rPr>
                <w:rFonts w:hint="eastAsia" w:ascii="Times New Roman" w:hAnsi="Times New Roman" w:eastAsia="黑体" w:cs="微软雅黑"/>
                <w:b/>
                <w:bCs/>
                <w:sz w:val="24"/>
                <w:highlight w:val="none"/>
                <w:shd w:val="clear" w:color="auto" w:fill="auto"/>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5" w:type="dxa"/>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r>
              <w:rPr>
                <w:rFonts w:hint="eastAsia" w:ascii="Times New Roman" w:hAnsi="Times New Roman" w:eastAsia="黑体" w:cs="微软雅黑"/>
                <w:sz w:val="24"/>
                <w:highlight w:val="none"/>
                <w:shd w:val="clear" w:color="auto" w:fill="auto"/>
              </w:rPr>
              <w:t>项目名称</w:t>
            </w:r>
          </w:p>
        </w:tc>
        <w:tc>
          <w:tcPr>
            <w:tcW w:w="6716" w:type="dxa"/>
            <w:gridSpan w:val="3"/>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5" w:type="dxa"/>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r>
              <w:rPr>
                <w:rFonts w:hint="eastAsia" w:ascii="Times New Roman" w:hAnsi="Times New Roman" w:eastAsia="黑体" w:cs="微软雅黑"/>
                <w:sz w:val="24"/>
                <w:highlight w:val="none"/>
                <w:shd w:val="clear" w:color="auto" w:fill="auto"/>
              </w:rPr>
              <w:t>主责单位</w:t>
            </w:r>
          </w:p>
        </w:tc>
        <w:tc>
          <w:tcPr>
            <w:tcW w:w="6716" w:type="dxa"/>
            <w:gridSpan w:val="3"/>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5" w:type="dxa"/>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r>
              <w:rPr>
                <w:rFonts w:hint="eastAsia" w:ascii="Times New Roman" w:hAnsi="Times New Roman" w:eastAsia="黑体" w:cs="微软雅黑"/>
                <w:sz w:val="24"/>
                <w:highlight w:val="none"/>
                <w:shd w:val="clear" w:color="auto" w:fill="auto"/>
              </w:rPr>
              <w:t>项目主责单位法人代表及身份证号</w:t>
            </w:r>
          </w:p>
        </w:tc>
        <w:tc>
          <w:tcPr>
            <w:tcW w:w="2606" w:type="dxa"/>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p>
        </w:tc>
        <w:tc>
          <w:tcPr>
            <w:tcW w:w="1923" w:type="dxa"/>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r>
              <w:rPr>
                <w:rFonts w:hint="eastAsia" w:ascii="Times New Roman" w:hAnsi="Times New Roman" w:eastAsia="黑体" w:cs="微软雅黑"/>
                <w:sz w:val="24"/>
                <w:highlight w:val="none"/>
                <w:shd w:val="clear" w:color="auto" w:fill="auto"/>
              </w:rPr>
              <w:t>主责单位统一社会信用代码</w:t>
            </w:r>
          </w:p>
        </w:tc>
        <w:tc>
          <w:tcPr>
            <w:tcW w:w="2187" w:type="dxa"/>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5" w:type="dxa"/>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r>
              <w:rPr>
                <w:rFonts w:hint="eastAsia" w:ascii="Times New Roman" w:hAnsi="Times New Roman" w:eastAsia="黑体" w:cs="微软雅黑"/>
                <w:sz w:val="24"/>
                <w:highlight w:val="none"/>
                <w:shd w:val="clear" w:color="auto" w:fill="auto"/>
              </w:rPr>
              <w:t>公司地点</w:t>
            </w:r>
          </w:p>
        </w:tc>
        <w:tc>
          <w:tcPr>
            <w:tcW w:w="6716" w:type="dxa"/>
            <w:gridSpan w:val="3"/>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5" w:type="dxa"/>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r>
              <w:rPr>
                <w:rFonts w:hint="eastAsia" w:ascii="Times New Roman" w:hAnsi="Times New Roman" w:eastAsia="黑体" w:cs="微软雅黑"/>
                <w:sz w:val="24"/>
                <w:highlight w:val="none"/>
                <w:shd w:val="clear" w:color="auto" w:fill="auto"/>
              </w:rPr>
              <w:t>联系人</w:t>
            </w:r>
          </w:p>
        </w:tc>
        <w:tc>
          <w:tcPr>
            <w:tcW w:w="2606" w:type="dxa"/>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p>
        </w:tc>
        <w:tc>
          <w:tcPr>
            <w:tcW w:w="1923" w:type="dxa"/>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r>
              <w:rPr>
                <w:rFonts w:hint="eastAsia" w:ascii="Times New Roman" w:hAnsi="Times New Roman" w:eastAsia="黑体" w:cs="微软雅黑"/>
                <w:sz w:val="24"/>
                <w:highlight w:val="none"/>
                <w:shd w:val="clear" w:color="auto" w:fill="auto"/>
              </w:rPr>
              <w:t>联系电话</w:t>
            </w:r>
          </w:p>
        </w:tc>
        <w:tc>
          <w:tcPr>
            <w:tcW w:w="2187" w:type="dxa"/>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1" w:type="dxa"/>
            <w:gridSpan w:val="4"/>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r>
              <w:rPr>
                <w:rFonts w:hint="eastAsia" w:ascii="Times New Roman" w:hAnsi="Times New Roman" w:eastAsia="黑体" w:cs="微软雅黑"/>
                <w:b/>
                <w:bCs/>
                <w:sz w:val="24"/>
                <w:highlight w:val="none"/>
                <w:shd w:val="clear" w:color="auto" w:fill="auto"/>
              </w:rPr>
              <w:t>项目信息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5" w:type="dxa"/>
            <w:noWrap w:val="0"/>
            <w:vAlign w:val="center"/>
          </w:tcPr>
          <w:p>
            <w:pPr>
              <w:adjustRightInd/>
              <w:snapToGrid/>
              <w:spacing w:line="440" w:lineRule="exact"/>
              <w:ind w:firstLine="0" w:firstLineChars="0"/>
              <w:jc w:val="center"/>
              <w:rPr>
                <w:rFonts w:hint="default" w:ascii="Times New Roman" w:hAnsi="Times New Roman" w:eastAsia="黑体" w:cs="微软雅黑"/>
                <w:sz w:val="24"/>
                <w:highlight w:val="none"/>
                <w:shd w:val="clear" w:color="auto" w:fill="auto"/>
                <w:lang w:val="en-US" w:eastAsia="zh-CN"/>
              </w:rPr>
            </w:pPr>
            <w:r>
              <w:rPr>
                <w:rFonts w:hint="eastAsia" w:ascii="Times New Roman" w:hAnsi="Times New Roman" w:eastAsia="黑体" w:cs="微软雅黑"/>
                <w:sz w:val="24"/>
                <w:highlight w:val="none"/>
                <w:shd w:val="clear" w:color="auto" w:fill="auto"/>
                <w:lang w:val="en-US" w:eastAsia="zh-CN"/>
              </w:rPr>
              <w:t>项目类型</w:t>
            </w:r>
          </w:p>
        </w:tc>
        <w:tc>
          <w:tcPr>
            <w:tcW w:w="2606" w:type="dxa"/>
            <w:noWrap w:val="0"/>
            <w:vAlign w:val="center"/>
          </w:tcPr>
          <w:p>
            <w:pPr>
              <w:adjustRightInd/>
              <w:snapToGrid/>
              <w:spacing w:line="440" w:lineRule="exact"/>
              <w:ind w:firstLine="0" w:firstLineChars="0"/>
              <w:jc w:val="center"/>
              <w:rPr>
                <w:rFonts w:hint="eastAsia" w:ascii="Times New Roman" w:hAnsi="Times New Roman" w:eastAsia="黑体" w:cs="微软雅黑"/>
                <w:sz w:val="24"/>
                <w:highlight w:val="none"/>
                <w:shd w:val="clear" w:color="auto" w:fill="auto"/>
                <w:lang w:eastAsia="zh-CN"/>
              </w:rPr>
            </w:pPr>
            <w:r>
              <w:rPr>
                <w:rFonts w:hint="eastAsia" w:ascii="Times New Roman" w:hAnsi="Times New Roman" w:eastAsia="黑体" w:cs="微软雅黑"/>
                <w:sz w:val="24"/>
                <w:highlight w:val="none"/>
                <w:shd w:val="clear" w:color="auto" w:fill="auto"/>
                <w:lang w:eastAsia="zh-CN"/>
              </w:rPr>
              <w:t>（</w:t>
            </w:r>
            <w:r>
              <w:rPr>
                <w:rFonts w:hint="eastAsia" w:ascii="Times New Roman" w:hAnsi="Times New Roman" w:eastAsia="黑体" w:cs="微软雅黑"/>
                <w:sz w:val="24"/>
                <w:highlight w:val="none"/>
                <w:shd w:val="clear" w:color="auto" w:fill="auto"/>
                <w:lang w:val="en-US" w:eastAsia="zh-CN"/>
              </w:rPr>
              <w:t>并网型/离网型</w:t>
            </w:r>
            <w:r>
              <w:rPr>
                <w:rFonts w:hint="eastAsia" w:ascii="Times New Roman" w:hAnsi="Times New Roman" w:eastAsia="黑体" w:cs="微软雅黑"/>
                <w:sz w:val="24"/>
                <w:highlight w:val="none"/>
                <w:shd w:val="clear" w:color="auto" w:fill="auto"/>
                <w:lang w:eastAsia="zh-CN"/>
              </w:rPr>
              <w:t>）</w:t>
            </w:r>
          </w:p>
        </w:tc>
        <w:tc>
          <w:tcPr>
            <w:tcW w:w="1923" w:type="dxa"/>
            <w:noWrap w:val="0"/>
            <w:vAlign w:val="center"/>
          </w:tcPr>
          <w:p>
            <w:pPr>
              <w:adjustRightInd/>
              <w:snapToGrid/>
              <w:spacing w:line="440" w:lineRule="exact"/>
              <w:ind w:firstLine="0" w:firstLineChars="0"/>
              <w:jc w:val="center"/>
              <w:rPr>
                <w:rFonts w:hint="default" w:ascii="Times New Roman" w:hAnsi="Times New Roman" w:eastAsia="黑体" w:cs="微软雅黑"/>
                <w:sz w:val="24"/>
                <w:highlight w:val="none"/>
                <w:shd w:val="clear" w:color="auto" w:fill="auto"/>
                <w:lang w:val="en-US" w:eastAsia="zh-CN"/>
              </w:rPr>
            </w:pPr>
            <w:r>
              <w:rPr>
                <w:rFonts w:hint="eastAsia" w:ascii="Times New Roman" w:hAnsi="Times New Roman" w:eastAsia="黑体" w:cs="微软雅黑"/>
                <w:sz w:val="24"/>
                <w:highlight w:val="none"/>
                <w:shd w:val="clear" w:color="auto" w:fill="auto"/>
              </w:rPr>
              <w:t>负荷</w:t>
            </w:r>
            <w:r>
              <w:rPr>
                <w:rFonts w:hint="eastAsia" w:ascii="Times New Roman" w:hAnsi="Times New Roman" w:eastAsia="黑体" w:cs="微软雅黑"/>
                <w:sz w:val="24"/>
                <w:highlight w:val="none"/>
                <w:shd w:val="clear" w:color="auto" w:fill="auto"/>
                <w:lang w:val="en-US" w:eastAsia="zh-CN"/>
              </w:rPr>
              <w:t>数量</w:t>
            </w:r>
          </w:p>
        </w:tc>
        <w:tc>
          <w:tcPr>
            <w:tcW w:w="2187" w:type="dxa"/>
            <w:noWrap w:val="0"/>
            <w:vAlign w:val="center"/>
          </w:tcPr>
          <w:p>
            <w:pPr>
              <w:adjustRightInd/>
              <w:snapToGrid/>
              <w:spacing w:line="440" w:lineRule="exact"/>
              <w:ind w:firstLine="0" w:firstLineChars="0"/>
              <w:jc w:val="center"/>
              <w:rPr>
                <w:rFonts w:hint="eastAsia" w:ascii="Times New Roman" w:hAnsi="Times New Roman" w:eastAsia="黑体" w:cs="微软雅黑"/>
                <w:sz w:val="24"/>
                <w:highlight w:val="none"/>
                <w:shd w:val="clear" w:color="auto" w:fil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5" w:type="dxa"/>
            <w:noWrap w:val="0"/>
            <w:vAlign w:val="center"/>
          </w:tcPr>
          <w:p>
            <w:pPr>
              <w:adjustRightInd/>
              <w:snapToGrid/>
              <w:spacing w:line="440" w:lineRule="exact"/>
              <w:ind w:firstLine="0" w:firstLineChars="0"/>
              <w:jc w:val="center"/>
              <w:rPr>
                <w:rFonts w:hint="eastAsia" w:ascii="Times New Roman" w:hAnsi="Times New Roman" w:eastAsia="黑体" w:cs="微软雅黑"/>
                <w:sz w:val="24"/>
                <w:highlight w:val="none"/>
                <w:shd w:val="clear" w:color="auto" w:fill="auto"/>
                <w:lang w:val="en-US" w:eastAsia="zh-CN" w:bidi="ar-SA"/>
              </w:rPr>
            </w:pPr>
            <w:r>
              <w:rPr>
                <w:rFonts w:hint="eastAsia" w:ascii="Times New Roman" w:hAnsi="Times New Roman" w:eastAsia="黑体" w:cs="微软雅黑"/>
                <w:sz w:val="24"/>
                <w:highlight w:val="none"/>
                <w:shd w:val="clear" w:color="auto" w:fill="auto"/>
                <w:lang w:val="en-US" w:eastAsia="zh-CN"/>
              </w:rPr>
              <w:t>预计总投资（亿元）</w:t>
            </w:r>
          </w:p>
        </w:tc>
        <w:tc>
          <w:tcPr>
            <w:tcW w:w="2606" w:type="dxa"/>
            <w:noWrap w:val="0"/>
            <w:vAlign w:val="center"/>
          </w:tcPr>
          <w:p>
            <w:pPr>
              <w:adjustRightInd/>
              <w:snapToGrid/>
              <w:spacing w:line="440" w:lineRule="exact"/>
              <w:ind w:firstLine="0" w:firstLineChars="0"/>
              <w:jc w:val="center"/>
              <w:rPr>
                <w:rFonts w:hint="eastAsia" w:ascii="Times New Roman" w:hAnsi="Times New Roman" w:eastAsia="黑体" w:cs="微软雅黑"/>
                <w:sz w:val="24"/>
                <w:highlight w:val="none"/>
                <w:shd w:val="clear" w:color="auto" w:fill="auto"/>
                <w:lang w:val="en-US" w:eastAsia="zh-CN" w:bidi="ar-SA"/>
              </w:rPr>
            </w:pPr>
          </w:p>
        </w:tc>
        <w:tc>
          <w:tcPr>
            <w:tcW w:w="1923" w:type="dxa"/>
            <w:noWrap w:val="0"/>
            <w:vAlign w:val="center"/>
          </w:tcPr>
          <w:p>
            <w:pPr>
              <w:adjustRightInd/>
              <w:snapToGrid/>
              <w:spacing w:line="440" w:lineRule="exact"/>
              <w:ind w:firstLine="0" w:firstLineChars="0"/>
              <w:jc w:val="center"/>
              <w:rPr>
                <w:rFonts w:hint="eastAsia" w:ascii="Times New Roman" w:hAnsi="Times New Roman" w:eastAsia="黑体" w:cs="微软雅黑"/>
                <w:sz w:val="24"/>
                <w:highlight w:val="none"/>
                <w:shd w:val="clear" w:color="auto" w:fill="auto"/>
                <w:lang w:val="en-US" w:eastAsia="zh-CN" w:bidi="ar-SA"/>
              </w:rPr>
            </w:pPr>
            <w:r>
              <w:rPr>
                <w:rFonts w:hint="eastAsia" w:ascii="Times New Roman" w:hAnsi="Times New Roman" w:eastAsia="黑体" w:cs="微软雅黑"/>
                <w:sz w:val="24"/>
                <w:highlight w:val="none"/>
                <w:shd w:val="clear" w:color="auto" w:fill="auto"/>
                <w:lang w:val="en-US" w:eastAsia="zh-CN"/>
              </w:rPr>
              <w:t>预计建设起止时间（精确到月）</w:t>
            </w:r>
          </w:p>
        </w:tc>
        <w:tc>
          <w:tcPr>
            <w:tcW w:w="2187" w:type="dxa"/>
            <w:noWrap w:val="0"/>
            <w:vAlign w:val="center"/>
          </w:tcPr>
          <w:p>
            <w:pPr>
              <w:adjustRightInd/>
              <w:snapToGrid/>
              <w:spacing w:line="440" w:lineRule="exact"/>
              <w:ind w:firstLine="0" w:firstLineChars="0"/>
              <w:jc w:val="center"/>
              <w:rPr>
                <w:rFonts w:hint="eastAsia" w:ascii="Times New Roman" w:hAnsi="Times New Roman" w:eastAsia="黑体" w:cs="微软雅黑"/>
                <w:sz w:val="24"/>
                <w:highlight w:val="none"/>
                <w:shd w:val="clear" w:color="auto" w:fil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5" w:type="dxa"/>
            <w:noWrap w:val="0"/>
            <w:vAlign w:val="center"/>
          </w:tcPr>
          <w:p>
            <w:pPr>
              <w:adjustRightInd/>
              <w:snapToGrid/>
              <w:spacing w:line="440" w:lineRule="exact"/>
              <w:ind w:firstLine="0" w:firstLineChars="0"/>
              <w:jc w:val="center"/>
              <w:rPr>
                <w:rFonts w:hint="default" w:ascii="Times New Roman" w:hAnsi="Times New Roman" w:eastAsia="黑体" w:cs="微软雅黑"/>
                <w:sz w:val="24"/>
                <w:highlight w:val="none"/>
                <w:shd w:val="clear" w:color="auto" w:fill="auto"/>
                <w:lang w:val="en-US" w:eastAsia="zh-CN"/>
              </w:rPr>
            </w:pPr>
            <w:r>
              <w:rPr>
                <w:rFonts w:hint="eastAsia" w:ascii="Times New Roman" w:hAnsi="Times New Roman" w:eastAsia="黑体" w:cs="微软雅黑"/>
                <w:sz w:val="24"/>
                <w:highlight w:val="none"/>
                <w:shd w:val="clear" w:color="auto" w:fill="auto"/>
                <w:lang w:val="en-US" w:eastAsia="zh-CN"/>
              </w:rPr>
              <w:t>电源类型</w:t>
            </w:r>
          </w:p>
        </w:tc>
        <w:tc>
          <w:tcPr>
            <w:tcW w:w="2606" w:type="dxa"/>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p>
        </w:tc>
        <w:tc>
          <w:tcPr>
            <w:tcW w:w="1923" w:type="dxa"/>
            <w:noWrap w:val="0"/>
            <w:vAlign w:val="center"/>
          </w:tcPr>
          <w:p>
            <w:pPr>
              <w:adjustRightInd/>
              <w:snapToGrid/>
              <w:spacing w:line="440" w:lineRule="exact"/>
              <w:ind w:firstLine="0" w:firstLineChars="0"/>
              <w:jc w:val="center"/>
              <w:rPr>
                <w:rFonts w:hint="default" w:ascii="Times New Roman" w:hAnsi="Times New Roman" w:eastAsia="黑体" w:cs="微软雅黑"/>
                <w:sz w:val="24"/>
                <w:highlight w:val="none"/>
                <w:shd w:val="clear" w:color="auto" w:fill="auto"/>
                <w:lang w:val="en-US" w:eastAsia="zh-CN"/>
              </w:rPr>
            </w:pPr>
            <w:r>
              <w:rPr>
                <w:rFonts w:hint="eastAsia" w:ascii="Times New Roman" w:hAnsi="Times New Roman" w:eastAsia="黑体" w:cs="微软雅黑"/>
                <w:sz w:val="24"/>
                <w:highlight w:val="none"/>
                <w:shd w:val="clear" w:color="auto" w:fill="auto"/>
                <w:lang w:val="en-US" w:eastAsia="zh-CN"/>
              </w:rPr>
              <w:t>电源总装机（MW）</w:t>
            </w:r>
          </w:p>
        </w:tc>
        <w:tc>
          <w:tcPr>
            <w:tcW w:w="2187" w:type="dxa"/>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5" w:type="dxa"/>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r>
              <w:rPr>
                <w:rFonts w:hint="eastAsia" w:ascii="Times New Roman" w:hAnsi="Times New Roman" w:eastAsia="黑体" w:cs="微软雅黑"/>
                <w:sz w:val="24"/>
                <w:highlight w:val="none"/>
                <w:shd w:val="clear" w:color="auto" w:fill="auto"/>
              </w:rPr>
              <w:t>储能建设规模（MW/MWh）</w:t>
            </w:r>
          </w:p>
        </w:tc>
        <w:tc>
          <w:tcPr>
            <w:tcW w:w="2606" w:type="dxa"/>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p>
        </w:tc>
        <w:tc>
          <w:tcPr>
            <w:tcW w:w="1923" w:type="dxa"/>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r>
              <w:rPr>
                <w:rFonts w:hint="eastAsia" w:ascii="Times New Roman" w:hAnsi="Times New Roman" w:eastAsia="黑体" w:cs="微软雅黑"/>
                <w:sz w:val="24"/>
                <w:highlight w:val="none"/>
                <w:shd w:val="clear" w:color="auto" w:fill="auto"/>
              </w:rPr>
              <w:t>项目电源年总可用发电量</w:t>
            </w:r>
          </w:p>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r>
              <w:rPr>
                <w:rFonts w:hint="eastAsia" w:ascii="Times New Roman" w:hAnsi="Times New Roman" w:eastAsia="黑体" w:cs="微软雅黑"/>
                <w:sz w:val="24"/>
                <w:highlight w:val="none"/>
                <w:shd w:val="clear" w:color="auto" w:fill="auto"/>
              </w:rPr>
              <w:t>（亿kWh）</w:t>
            </w:r>
          </w:p>
        </w:tc>
        <w:tc>
          <w:tcPr>
            <w:tcW w:w="2187" w:type="dxa"/>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5" w:type="dxa"/>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r>
              <w:rPr>
                <w:rFonts w:hint="eastAsia" w:ascii="Times New Roman" w:hAnsi="Times New Roman" w:eastAsia="黑体" w:cs="微软雅黑"/>
                <w:sz w:val="24"/>
                <w:highlight w:val="none"/>
                <w:shd w:val="clear" w:color="auto" w:fill="auto"/>
              </w:rPr>
              <w:t>自发自用电量占总可发电量比例(%)</w:t>
            </w:r>
          </w:p>
        </w:tc>
        <w:tc>
          <w:tcPr>
            <w:tcW w:w="6716" w:type="dxa"/>
            <w:gridSpan w:val="3"/>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5" w:type="dxa"/>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r>
              <w:rPr>
                <w:rFonts w:hint="eastAsia" w:ascii="Times New Roman" w:hAnsi="Times New Roman" w:eastAsia="黑体" w:cs="微软雅黑"/>
                <w:sz w:val="24"/>
                <w:highlight w:val="none"/>
                <w:shd w:val="clear" w:color="auto" w:fill="auto"/>
              </w:rPr>
              <w:t>自发自用电量占总用电量比例(%)</w:t>
            </w:r>
          </w:p>
        </w:tc>
        <w:tc>
          <w:tcPr>
            <w:tcW w:w="6716" w:type="dxa"/>
            <w:gridSpan w:val="3"/>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5" w:type="dxa"/>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r>
              <w:rPr>
                <w:rFonts w:hint="eastAsia" w:ascii="Times New Roman" w:hAnsi="Times New Roman" w:eastAsia="黑体" w:cs="微软雅黑"/>
                <w:sz w:val="24"/>
                <w:highlight w:val="none"/>
                <w:shd w:val="clear" w:color="auto" w:fill="auto"/>
              </w:rPr>
              <w:t>上网电量占总可发电量的比例(%)</w:t>
            </w:r>
          </w:p>
        </w:tc>
        <w:tc>
          <w:tcPr>
            <w:tcW w:w="6716" w:type="dxa"/>
            <w:gridSpan w:val="3"/>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5" w:type="dxa"/>
            <w:noWrap w:val="0"/>
            <w:vAlign w:val="center"/>
          </w:tcPr>
          <w:p>
            <w:pPr>
              <w:adjustRightInd/>
              <w:snapToGrid/>
              <w:spacing w:line="440" w:lineRule="exact"/>
              <w:ind w:firstLine="0" w:firstLineChars="0"/>
              <w:jc w:val="center"/>
              <w:rPr>
                <w:rFonts w:hint="eastAsia" w:ascii="Times New Roman" w:hAnsi="Times New Roman" w:eastAsia="黑体" w:cs="微软雅黑"/>
                <w:sz w:val="24"/>
                <w:highlight w:val="none"/>
                <w:shd w:val="clear" w:color="auto" w:fill="auto"/>
              </w:rPr>
            </w:pPr>
            <w:r>
              <w:rPr>
                <w:rFonts w:hint="eastAsia" w:ascii="Times New Roman" w:hAnsi="Times New Roman" w:eastAsia="黑体" w:cs="微软雅黑"/>
                <w:sz w:val="24"/>
                <w:highlight w:val="none"/>
                <w:shd w:val="clear" w:color="auto" w:fill="auto"/>
              </w:rPr>
              <w:t>最大负荷峰谷差率</w:t>
            </w:r>
          </w:p>
          <w:p>
            <w:pPr>
              <w:adjustRightInd/>
              <w:snapToGrid/>
              <w:spacing w:line="440" w:lineRule="exact"/>
              <w:ind w:firstLine="0" w:firstLineChars="0"/>
              <w:jc w:val="center"/>
              <w:rPr>
                <w:rFonts w:hint="eastAsia" w:ascii="Times New Roman" w:hAnsi="Times New Roman" w:eastAsia="黑体" w:cs="微软雅黑"/>
                <w:sz w:val="24"/>
                <w:highlight w:val="none"/>
                <w:shd w:val="clear" w:color="auto" w:fill="auto"/>
              </w:rPr>
            </w:pPr>
            <w:r>
              <w:rPr>
                <w:rFonts w:hint="eastAsia" w:ascii="Times New Roman" w:hAnsi="Times New Roman" w:eastAsia="黑体" w:cs="微软雅黑"/>
                <w:sz w:val="24"/>
                <w:highlight w:val="none"/>
                <w:shd w:val="clear" w:color="auto" w:fill="auto"/>
              </w:rPr>
              <w:t>（%）</w:t>
            </w:r>
          </w:p>
        </w:tc>
        <w:tc>
          <w:tcPr>
            <w:tcW w:w="6716" w:type="dxa"/>
            <w:gridSpan w:val="3"/>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5" w:type="dxa"/>
            <w:noWrap w:val="0"/>
            <w:vAlign w:val="center"/>
          </w:tcPr>
          <w:p>
            <w:pPr>
              <w:adjustRightInd/>
              <w:snapToGrid/>
              <w:spacing w:line="440" w:lineRule="exact"/>
              <w:ind w:firstLine="0" w:firstLineChars="0"/>
              <w:jc w:val="center"/>
              <w:rPr>
                <w:rFonts w:hint="default" w:ascii="Times New Roman" w:hAnsi="Times New Roman" w:eastAsia="黑体" w:cs="微软雅黑"/>
                <w:sz w:val="24"/>
                <w:highlight w:val="none"/>
                <w:shd w:val="clear" w:color="auto" w:fill="auto"/>
                <w:lang w:val="en-US" w:eastAsia="zh-CN"/>
              </w:rPr>
            </w:pPr>
            <w:r>
              <w:rPr>
                <w:rFonts w:hint="eastAsia" w:ascii="Times New Roman" w:hAnsi="Times New Roman" w:eastAsia="黑体" w:cs="微软雅黑"/>
                <w:sz w:val="24"/>
                <w:highlight w:val="none"/>
                <w:shd w:val="clear" w:color="auto" w:fill="auto"/>
                <w:lang w:val="en-US" w:eastAsia="zh-CN"/>
              </w:rPr>
              <w:t>输配电费缴纳方式</w:t>
            </w:r>
          </w:p>
        </w:tc>
        <w:tc>
          <w:tcPr>
            <w:tcW w:w="6716" w:type="dxa"/>
            <w:gridSpan w:val="3"/>
            <w:noWrap w:val="0"/>
            <w:vAlign w:val="center"/>
          </w:tcPr>
          <w:p>
            <w:pPr>
              <w:adjustRightInd/>
              <w:snapToGrid/>
              <w:spacing w:line="440" w:lineRule="exact"/>
              <w:ind w:firstLine="0" w:firstLineChars="0"/>
              <w:jc w:val="center"/>
              <w:rPr>
                <w:rFonts w:hint="eastAsia" w:ascii="Times New Roman" w:hAnsi="Times New Roman" w:eastAsia="黑体" w:cs="微软雅黑"/>
                <w:sz w:val="24"/>
                <w:highlight w:val="none"/>
                <w:shd w:val="clear" w:color="auto" w:fill="auto"/>
                <w:lang w:eastAsia="zh-CN"/>
              </w:rPr>
            </w:pPr>
            <w:r>
              <w:rPr>
                <w:rFonts w:hint="eastAsia" w:ascii="Times New Roman" w:hAnsi="Times New Roman" w:eastAsia="黑体" w:cs="微软雅黑"/>
                <w:sz w:val="24"/>
                <w:highlight w:val="none"/>
                <w:shd w:val="clear" w:color="auto" w:fill="auto"/>
                <w:lang w:eastAsia="zh-CN"/>
              </w:rPr>
              <w:t>（</w:t>
            </w:r>
            <w:r>
              <w:rPr>
                <w:rFonts w:hint="eastAsia" w:ascii="Times New Roman" w:hAnsi="Times New Roman" w:eastAsia="黑体" w:cs="微软雅黑"/>
                <w:sz w:val="24"/>
                <w:highlight w:val="none"/>
                <w:shd w:val="clear" w:color="auto" w:fill="auto"/>
                <w:lang w:val="en-US" w:eastAsia="zh-CN"/>
              </w:rPr>
              <w:t>按容需量缴纳输配电费/按现行两部制输配电价模式缴纳</w:t>
            </w:r>
            <w:r>
              <w:rPr>
                <w:rFonts w:hint="eastAsia" w:ascii="Times New Roman" w:hAnsi="Times New Roman" w:eastAsia="黑体" w:cs="微软雅黑"/>
                <w:sz w:val="24"/>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1" w:type="dxa"/>
            <w:gridSpan w:val="4"/>
            <w:noWrap w:val="0"/>
            <w:vAlign w:val="center"/>
          </w:tcPr>
          <w:p>
            <w:pPr>
              <w:adjustRightInd/>
              <w:snapToGrid/>
              <w:spacing w:line="440" w:lineRule="exact"/>
              <w:ind w:firstLine="0" w:firstLineChars="0"/>
              <w:jc w:val="center"/>
              <w:rPr>
                <w:rFonts w:ascii="Times New Roman" w:hAnsi="Times New Roman" w:eastAsia="黑体" w:cs="微软雅黑"/>
                <w:sz w:val="24"/>
                <w:highlight w:val="none"/>
                <w:shd w:val="clear" w:color="auto" w:fill="auto"/>
              </w:rPr>
            </w:pPr>
            <w:r>
              <w:rPr>
                <w:rFonts w:hint="eastAsia" w:ascii="Times New Roman" w:hAnsi="Times New Roman" w:eastAsia="黑体" w:cs="微软雅黑"/>
                <w:b/>
                <w:bCs/>
                <w:sz w:val="24"/>
                <w:highlight w:val="none"/>
                <w:shd w:val="clear" w:color="auto" w:fill="auto"/>
              </w:rPr>
              <w:t>申请说明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3" w:hRule="atLeast"/>
          <w:jc w:val="center"/>
        </w:trPr>
        <w:tc>
          <w:tcPr>
            <w:tcW w:w="9061" w:type="dxa"/>
            <w:gridSpan w:val="4"/>
            <w:noWrap w:val="0"/>
            <w:vAlign w:val="top"/>
          </w:tcPr>
          <w:p>
            <w:pPr>
              <w:adjustRightInd/>
              <w:snapToGrid/>
              <w:spacing w:line="440" w:lineRule="exact"/>
              <w:ind w:firstLine="0" w:firstLineChars="0"/>
              <w:jc w:val="left"/>
              <w:rPr>
                <w:rFonts w:ascii="Times New Roman" w:hAnsi="Times New Roman" w:eastAsia="黑体" w:cs="微软雅黑"/>
                <w:sz w:val="21"/>
                <w:szCs w:val="21"/>
                <w:highlight w:val="none"/>
                <w:shd w:val="clear" w:color="auto" w:fill="auto"/>
              </w:rPr>
            </w:pPr>
            <w:r>
              <w:rPr>
                <w:rFonts w:hint="eastAsia" w:ascii="Times New Roman" w:hAnsi="Times New Roman" w:eastAsia="黑体" w:cs="微软雅黑"/>
                <w:sz w:val="21"/>
                <w:szCs w:val="21"/>
                <w:highlight w:val="none"/>
                <w:shd w:val="clear" w:color="auto" w:fill="auto"/>
              </w:rPr>
              <w:t>项目简介（500字以内）：</w:t>
            </w:r>
          </w:p>
          <w:p>
            <w:pPr>
              <w:adjustRightInd/>
              <w:snapToGrid/>
              <w:spacing w:line="440" w:lineRule="exact"/>
              <w:ind w:firstLine="0" w:firstLineChars="0"/>
              <w:jc w:val="left"/>
              <w:rPr>
                <w:rFonts w:ascii="Times New Roman" w:hAnsi="Times New Roman" w:eastAsia="黑体" w:cs="微软雅黑"/>
                <w:sz w:val="24"/>
                <w:highlight w:val="none"/>
                <w:shd w:val="clear" w:color="auto" w:fill="auto"/>
              </w:rPr>
            </w:pPr>
          </w:p>
          <w:p>
            <w:pPr>
              <w:adjustRightInd/>
              <w:snapToGrid/>
              <w:spacing w:line="440" w:lineRule="exact"/>
              <w:ind w:firstLine="0" w:firstLineChars="0"/>
              <w:jc w:val="left"/>
              <w:rPr>
                <w:rFonts w:ascii="Times New Roman" w:hAnsi="Times New Roman" w:eastAsia="黑体" w:cs="微软雅黑"/>
                <w:sz w:val="24"/>
                <w:highlight w:val="none"/>
                <w:shd w:val="clear" w:color="auto" w:fill="auto"/>
              </w:rPr>
            </w:pPr>
          </w:p>
          <w:p>
            <w:pPr>
              <w:adjustRightInd/>
              <w:snapToGrid/>
              <w:spacing w:line="440" w:lineRule="exact"/>
              <w:ind w:firstLine="0" w:firstLineChars="0"/>
              <w:jc w:val="left"/>
              <w:rPr>
                <w:rFonts w:ascii="Times New Roman" w:hAnsi="Times New Roman" w:eastAsia="黑体" w:cs="微软雅黑"/>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1" w:type="dxa"/>
            <w:gridSpan w:val="4"/>
            <w:noWrap w:val="0"/>
            <w:vAlign w:val="center"/>
          </w:tcPr>
          <w:p>
            <w:pPr>
              <w:adjustRightInd/>
              <w:snapToGrid/>
              <w:spacing w:line="440" w:lineRule="exact"/>
              <w:ind w:firstLine="0" w:firstLineChars="0"/>
              <w:jc w:val="left"/>
              <w:rPr>
                <w:rFonts w:ascii="Times New Roman" w:hAnsi="Times New Roman" w:eastAsia="黑体" w:cs="微软雅黑"/>
                <w:sz w:val="21"/>
                <w:szCs w:val="21"/>
                <w:highlight w:val="none"/>
                <w:shd w:val="clear" w:color="auto" w:fill="auto"/>
              </w:rPr>
            </w:pPr>
            <w:r>
              <w:rPr>
                <w:rFonts w:hint="eastAsia" w:ascii="Times New Roman" w:hAnsi="Times New Roman" w:eastAsia="黑体" w:cs="微软雅黑"/>
                <w:sz w:val="21"/>
                <w:szCs w:val="21"/>
                <w:highlight w:val="none"/>
                <w:shd w:val="clear" w:color="auto" w:fill="auto"/>
              </w:rPr>
              <w:t>负荷项目申请单位承诺：</w:t>
            </w:r>
          </w:p>
          <w:p>
            <w:pPr>
              <w:adjustRightInd/>
              <w:snapToGrid/>
              <w:spacing w:line="440" w:lineRule="exact"/>
              <w:ind w:firstLine="0" w:firstLineChars="0"/>
              <w:jc w:val="left"/>
              <w:rPr>
                <w:rFonts w:ascii="Times New Roman" w:hAnsi="Times New Roman" w:eastAsia="黑体" w:cs="微软雅黑"/>
                <w:sz w:val="21"/>
                <w:szCs w:val="21"/>
                <w:highlight w:val="none"/>
                <w:shd w:val="clear" w:color="auto" w:fill="auto"/>
              </w:rPr>
            </w:pPr>
          </w:p>
          <w:p>
            <w:pPr>
              <w:adjustRightInd/>
              <w:snapToGrid/>
              <w:spacing w:line="440" w:lineRule="exact"/>
              <w:ind w:firstLine="0" w:firstLineChars="0"/>
              <w:jc w:val="left"/>
              <w:rPr>
                <w:rFonts w:ascii="Times New Roman" w:hAnsi="Times New Roman" w:eastAsia="黑体" w:cs="微软雅黑"/>
                <w:sz w:val="21"/>
                <w:szCs w:val="21"/>
                <w:highlight w:val="none"/>
                <w:shd w:val="clear" w:color="auto" w:fill="auto"/>
              </w:rPr>
            </w:pPr>
            <w:r>
              <w:rPr>
                <w:rFonts w:hint="eastAsia" w:ascii="Times New Roman" w:hAnsi="Times New Roman" w:eastAsia="黑体" w:cs="微软雅黑"/>
                <w:sz w:val="21"/>
                <w:szCs w:val="21"/>
                <w:highlight w:val="none"/>
                <w:shd w:val="clear" w:color="auto" w:fill="auto"/>
              </w:rPr>
              <w:t>本表填报的内容及提交的所有资料的原件或复印件及内容是真实的。如有任何虚假，受理机构可终止审核认定；如因虚假资料引致法律责任，概由本单位承担。</w:t>
            </w:r>
          </w:p>
          <w:p>
            <w:pPr>
              <w:adjustRightInd/>
              <w:snapToGrid/>
              <w:spacing w:line="440" w:lineRule="exact"/>
              <w:ind w:firstLine="0" w:firstLineChars="0"/>
              <w:jc w:val="left"/>
              <w:rPr>
                <w:rFonts w:ascii="Times New Roman" w:hAnsi="Times New Roman" w:eastAsia="黑体" w:cs="微软雅黑"/>
                <w:sz w:val="21"/>
                <w:szCs w:val="21"/>
                <w:highlight w:val="none"/>
                <w:shd w:val="clear" w:color="auto" w:fill="auto"/>
              </w:rPr>
            </w:pPr>
          </w:p>
          <w:p>
            <w:pPr>
              <w:adjustRightInd/>
              <w:snapToGrid/>
              <w:spacing w:line="440" w:lineRule="exact"/>
              <w:ind w:firstLine="0" w:firstLineChars="0"/>
              <w:jc w:val="left"/>
              <w:rPr>
                <w:rFonts w:ascii="Times New Roman" w:hAnsi="Times New Roman" w:eastAsia="黑体" w:cs="微软雅黑"/>
                <w:sz w:val="21"/>
                <w:szCs w:val="21"/>
                <w:highlight w:val="none"/>
                <w:shd w:val="clear" w:color="auto" w:fill="auto"/>
              </w:rPr>
            </w:pPr>
          </w:p>
          <w:p>
            <w:pPr>
              <w:adjustRightInd/>
              <w:snapToGrid/>
              <w:spacing w:line="440" w:lineRule="exact"/>
              <w:ind w:firstLine="0" w:firstLineChars="0"/>
              <w:jc w:val="left"/>
              <w:rPr>
                <w:rFonts w:ascii="Times New Roman" w:hAnsi="Times New Roman" w:eastAsia="黑体" w:cs="微软雅黑"/>
                <w:sz w:val="21"/>
                <w:szCs w:val="21"/>
                <w:highlight w:val="none"/>
                <w:shd w:val="clear" w:color="auto" w:fill="auto"/>
              </w:rPr>
            </w:pPr>
          </w:p>
          <w:p>
            <w:pPr>
              <w:adjustRightInd/>
              <w:snapToGrid/>
              <w:spacing w:line="440" w:lineRule="exact"/>
              <w:ind w:firstLine="0" w:firstLineChars="0"/>
              <w:jc w:val="left"/>
              <w:rPr>
                <w:rFonts w:ascii="Times New Roman" w:hAnsi="Times New Roman" w:eastAsia="黑体" w:cs="微软雅黑"/>
                <w:sz w:val="21"/>
                <w:szCs w:val="21"/>
                <w:highlight w:val="none"/>
                <w:shd w:val="clear" w:color="auto" w:fill="auto"/>
              </w:rPr>
            </w:pPr>
            <w:r>
              <w:rPr>
                <w:rFonts w:hint="eastAsia" w:ascii="Times New Roman" w:hAnsi="Times New Roman" w:eastAsia="黑体" w:cs="微软雅黑"/>
                <w:sz w:val="21"/>
                <w:szCs w:val="21"/>
                <w:highlight w:val="none"/>
                <w:shd w:val="clear" w:color="auto" w:fill="auto"/>
                <w:lang w:val="en-US" w:eastAsia="zh-CN"/>
              </w:rPr>
              <w:t>负荷项目</w:t>
            </w:r>
            <w:r>
              <w:rPr>
                <w:rFonts w:hint="eastAsia" w:ascii="Times New Roman" w:hAnsi="Times New Roman" w:eastAsia="黑体" w:cs="微软雅黑"/>
                <w:sz w:val="21"/>
                <w:szCs w:val="21"/>
                <w:highlight w:val="none"/>
                <w:shd w:val="clear" w:color="auto" w:fill="auto"/>
              </w:rPr>
              <w:t>单位</w:t>
            </w:r>
            <w:r>
              <w:rPr>
                <w:rFonts w:hint="eastAsia" w:ascii="Times New Roman" w:hAnsi="Times New Roman" w:eastAsia="黑体" w:cs="微软雅黑"/>
                <w:sz w:val="21"/>
                <w:szCs w:val="21"/>
                <w:highlight w:val="none"/>
                <w:shd w:val="clear" w:color="auto" w:fill="auto"/>
                <w:lang w:val="en-US" w:eastAsia="zh-CN"/>
              </w:rPr>
              <w:t>1</w:t>
            </w:r>
            <w:r>
              <w:rPr>
                <w:rFonts w:hint="eastAsia" w:ascii="Times New Roman" w:hAnsi="Times New Roman" w:eastAsia="黑体" w:cs="微软雅黑"/>
                <w:sz w:val="21"/>
                <w:szCs w:val="21"/>
                <w:highlight w:val="none"/>
                <w:shd w:val="clear" w:color="auto" w:fill="auto"/>
              </w:rPr>
              <w:t>（盖章）：                                法定代表人（签字）：</w:t>
            </w:r>
          </w:p>
          <w:p>
            <w:pPr>
              <w:adjustRightInd/>
              <w:snapToGrid/>
              <w:spacing w:line="440" w:lineRule="exact"/>
              <w:ind w:firstLine="0" w:firstLineChars="0"/>
              <w:jc w:val="left"/>
              <w:rPr>
                <w:rFonts w:ascii="Times New Roman" w:hAnsi="Times New Roman" w:eastAsia="黑体" w:cs="微软雅黑"/>
                <w:sz w:val="21"/>
                <w:szCs w:val="21"/>
                <w:highlight w:val="none"/>
                <w:shd w:val="clear" w:color="auto" w:fill="auto"/>
              </w:rPr>
            </w:pPr>
          </w:p>
          <w:p>
            <w:pPr>
              <w:adjustRightInd/>
              <w:snapToGrid/>
              <w:spacing w:line="440" w:lineRule="exact"/>
              <w:ind w:firstLine="0" w:firstLineChars="0"/>
              <w:jc w:val="right"/>
              <w:rPr>
                <w:rFonts w:hint="eastAsia" w:ascii="Times New Roman" w:hAnsi="Times New Roman" w:eastAsia="黑体" w:cs="微软雅黑"/>
                <w:sz w:val="21"/>
                <w:szCs w:val="21"/>
                <w:highlight w:val="none"/>
                <w:shd w:val="clear" w:color="auto" w:fill="auto"/>
              </w:rPr>
            </w:pPr>
            <w:r>
              <w:rPr>
                <w:rFonts w:hint="eastAsia" w:ascii="Times New Roman" w:hAnsi="Times New Roman" w:eastAsia="黑体" w:cs="微软雅黑"/>
                <w:sz w:val="21"/>
                <w:szCs w:val="21"/>
                <w:highlight w:val="none"/>
                <w:shd w:val="clear" w:color="auto" w:fill="auto"/>
              </w:rPr>
              <w:t>年   月   日</w:t>
            </w:r>
          </w:p>
          <w:p>
            <w:pPr>
              <w:adjustRightInd/>
              <w:snapToGrid/>
              <w:spacing w:line="440" w:lineRule="exact"/>
              <w:ind w:firstLine="0" w:firstLineChars="0"/>
              <w:jc w:val="both"/>
              <w:rPr>
                <w:rFonts w:hint="eastAsia" w:ascii="Times New Roman" w:hAnsi="Times New Roman" w:eastAsia="黑体" w:cs="微软雅黑"/>
                <w:sz w:val="21"/>
                <w:szCs w:val="21"/>
                <w:highlight w:val="none"/>
                <w:shd w:val="clear" w:color="auto" w:fill="auto"/>
              </w:rPr>
            </w:pPr>
          </w:p>
          <w:p>
            <w:pPr>
              <w:adjustRightInd/>
              <w:snapToGrid/>
              <w:spacing w:line="440" w:lineRule="exact"/>
              <w:ind w:firstLine="0" w:firstLineChars="0"/>
              <w:jc w:val="both"/>
              <w:rPr>
                <w:rFonts w:hint="eastAsia" w:ascii="Times New Roman" w:hAnsi="Times New Roman" w:eastAsia="黑体" w:cs="微软雅黑"/>
                <w:sz w:val="21"/>
                <w:szCs w:val="21"/>
                <w:highlight w:val="none"/>
                <w:shd w:val="clear" w:color="auto" w:fill="auto"/>
              </w:rPr>
            </w:pPr>
          </w:p>
          <w:p>
            <w:pPr>
              <w:adjustRightInd/>
              <w:snapToGrid/>
              <w:spacing w:line="440" w:lineRule="exact"/>
              <w:ind w:firstLine="0" w:firstLineChars="0"/>
              <w:jc w:val="left"/>
              <w:rPr>
                <w:rFonts w:ascii="Times New Roman" w:hAnsi="Times New Roman" w:eastAsia="黑体" w:cs="微软雅黑"/>
                <w:sz w:val="21"/>
                <w:szCs w:val="21"/>
                <w:highlight w:val="none"/>
                <w:shd w:val="clear" w:color="auto" w:fill="auto"/>
              </w:rPr>
            </w:pPr>
            <w:r>
              <w:rPr>
                <w:rFonts w:hint="eastAsia" w:ascii="Times New Roman" w:hAnsi="Times New Roman" w:eastAsia="黑体" w:cs="微软雅黑"/>
                <w:sz w:val="21"/>
                <w:szCs w:val="21"/>
                <w:highlight w:val="none"/>
                <w:shd w:val="clear" w:color="auto" w:fill="auto"/>
                <w:lang w:val="en-US" w:eastAsia="zh-CN"/>
              </w:rPr>
              <w:t>负荷项目</w:t>
            </w:r>
            <w:r>
              <w:rPr>
                <w:rFonts w:hint="eastAsia" w:ascii="Times New Roman" w:hAnsi="Times New Roman" w:eastAsia="黑体" w:cs="微软雅黑"/>
                <w:sz w:val="21"/>
                <w:szCs w:val="21"/>
                <w:highlight w:val="none"/>
                <w:shd w:val="clear" w:color="auto" w:fill="auto"/>
              </w:rPr>
              <w:t>单位</w:t>
            </w:r>
            <w:r>
              <w:rPr>
                <w:rFonts w:hint="eastAsia" w:ascii="Times New Roman" w:hAnsi="Times New Roman" w:eastAsia="黑体" w:cs="微软雅黑"/>
                <w:sz w:val="21"/>
                <w:szCs w:val="21"/>
                <w:highlight w:val="none"/>
                <w:shd w:val="clear" w:color="auto" w:fill="auto"/>
                <w:lang w:val="en-US" w:eastAsia="zh-CN"/>
              </w:rPr>
              <w:t>2</w:t>
            </w:r>
            <w:r>
              <w:rPr>
                <w:rFonts w:hint="eastAsia" w:ascii="Times New Roman" w:hAnsi="Times New Roman" w:eastAsia="黑体" w:cs="微软雅黑"/>
                <w:sz w:val="21"/>
                <w:szCs w:val="21"/>
                <w:highlight w:val="none"/>
                <w:shd w:val="clear" w:color="auto" w:fill="auto"/>
              </w:rPr>
              <w:t>（盖章）：                                法定代表人（签字）：</w:t>
            </w:r>
          </w:p>
          <w:p>
            <w:pPr>
              <w:adjustRightInd/>
              <w:snapToGrid/>
              <w:spacing w:line="440" w:lineRule="exact"/>
              <w:ind w:firstLine="0" w:firstLineChars="0"/>
              <w:jc w:val="left"/>
              <w:rPr>
                <w:rFonts w:ascii="Times New Roman" w:hAnsi="Times New Roman" w:eastAsia="黑体" w:cs="微软雅黑"/>
                <w:sz w:val="21"/>
                <w:szCs w:val="21"/>
                <w:highlight w:val="none"/>
                <w:shd w:val="clear" w:color="auto" w:fill="auto"/>
              </w:rPr>
            </w:pPr>
          </w:p>
          <w:p>
            <w:pPr>
              <w:adjustRightInd/>
              <w:snapToGrid/>
              <w:spacing w:line="440" w:lineRule="exact"/>
              <w:ind w:firstLine="0" w:firstLineChars="0"/>
              <w:jc w:val="right"/>
              <w:rPr>
                <w:rFonts w:hint="eastAsia" w:ascii="Times New Roman" w:hAnsi="Times New Roman" w:eastAsia="黑体" w:cs="微软雅黑"/>
                <w:sz w:val="21"/>
                <w:szCs w:val="21"/>
                <w:highlight w:val="none"/>
                <w:shd w:val="clear" w:color="auto" w:fill="auto"/>
              </w:rPr>
            </w:pPr>
            <w:r>
              <w:rPr>
                <w:rFonts w:hint="eastAsia" w:ascii="Times New Roman" w:hAnsi="Times New Roman" w:eastAsia="黑体" w:cs="微软雅黑"/>
                <w:sz w:val="21"/>
                <w:szCs w:val="21"/>
                <w:highlight w:val="none"/>
                <w:shd w:val="clear" w:color="auto" w:fill="auto"/>
              </w:rPr>
              <w:t>年   月   日</w:t>
            </w:r>
          </w:p>
          <w:p>
            <w:pPr>
              <w:adjustRightInd/>
              <w:snapToGrid/>
              <w:spacing w:line="440" w:lineRule="exact"/>
              <w:ind w:firstLine="0" w:firstLineChars="0"/>
              <w:jc w:val="both"/>
              <w:rPr>
                <w:rFonts w:hint="eastAsia" w:ascii="Times New Roman" w:hAnsi="Times New Roman" w:eastAsia="黑体" w:cs="微软雅黑"/>
                <w:sz w:val="21"/>
                <w:szCs w:val="21"/>
                <w:highlight w:val="none"/>
                <w:shd w:val="clear" w:color="auto" w:fill="auto"/>
              </w:rPr>
            </w:pPr>
          </w:p>
          <w:p>
            <w:pPr>
              <w:adjustRightInd/>
              <w:snapToGrid/>
              <w:spacing w:line="440" w:lineRule="exact"/>
              <w:ind w:firstLine="0" w:firstLineChars="0"/>
              <w:jc w:val="both"/>
              <w:rPr>
                <w:rFonts w:hint="eastAsia" w:ascii="Times New Roman" w:hAnsi="Times New Roman" w:eastAsia="黑体" w:cs="微软雅黑"/>
                <w:sz w:val="21"/>
                <w:szCs w:val="21"/>
                <w:highlight w:val="none"/>
                <w:shd w:val="clear" w:color="auto" w:fill="auto"/>
              </w:rPr>
            </w:pPr>
          </w:p>
          <w:p>
            <w:pPr>
              <w:adjustRightInd/>
              <w:snapToGrid/>
              <w:spacing w:line="440" w:lineRule="exact"/>
              <w:ind w:firstLine="0" w:firstLineChars="0"/>
              <w:jc w:val="left"/>
              <w:rPr>
                <w:rFonts w:ascii="Times New Roman" w:hAnsi="Times New Roman" w:eastAsia="黑体" w:cs="微软雅黑"/>
                <w:sz w:val="21"/>
                <w:szCs w:val="21"/>
                <w:highlight w:val="none"/>
                <w:shd w:val="clear" w:color="auto" w:fill="auto"/>
              </w:rPr>
            </w:pPr>
            <w:r>
              <w:rPr>
                <w:rFonts w:hint="eastAsia" w:ascii="Times New Roman" w:hAnsi="Times New Roman" w:eastAsia="黑体" w:cs="微软雅黑"/>
                <w:sz w:val="21"/>
                <w:szCs w:val="21"/>
                <w:highlight w:val="none"/>
                <w:shd w:val="clear" w:color="auto" w:fill="auto"/>
                <w:lang w:val="en-US" w:eastAsia="zh-CN"/>
              </w:rPr>
              <w:t>负荷项目</w:t>
            </w:r>
            <w:r>
              <w:rPr>
                <w:rFonts w:hint="eastAsia" w:ascii="Times New Roman" w:hAnsi="Times New Roman" w:eastAsia="黑体" w:cs="微软雅黑"/>
                <w:sz w:val="21"/>
                <w:szCs w:val="21"/>
                <w:highlight w:val="none"/>
                <w:shd w:val="clear" w:color="auto" w:fill="auto"/>
              </w:rPr>
              <w:t>单位</w:t>
            </w:r>
            <w:r>
              <w:rPr>
                <w:rFonts w:hint="eastAsia" w:ascii="Times New Roman" w:hAnsi="Times New Roman" w:eastAsia="黑体" w:cs="微软雅黑"/>
                <w:sz w:val="21"/>
                <w:szCs w:val="21"/>
                <w:highlight w:val="none"/>
                <w:shd w:val="clear" w:color="auto" w:fill="auto"/>
                <w:lang w:val="en-US" w:eastAsia="zh-CN"/>
              </w:rPr>
              <w:t>3</w:t>
            </w:r>
            <w:r>
              <w:rPr>
                <w:rFonts w:hint="eastAsia" w:ascii="Times New Roman" w:hAnsi="Times New Roman" w:eastAsia="黑体" w:cs="微软雅黑"/>
                <w:sz w:val="21"/>
                <w:szCs w:val="21"/>
                <w:highlight w:val="none"/>
                <w:shd w:val="clear" w:color="auto" w:fill="auto"/>
              </w:rPr>
              <w:t>（盖章）：                                法定代表人（签字）：</w:t>
            </w:r>
          </w:p>
          <w:p>
            <w:pPr>
              <w:adjustRightInd/>
              <w:snapToGrid/>
              <w:spacing w:line="440" w:lineRule="exact"/>
              <w:ind w:firstLine="0" w:firstLineChars="0"/>
              <w:jc w:val="left"/>
              <w:rPr>
                <w:rFonts w:ascii="Times New Roman" w:hAnsi="Times New Roman" w:eastAsia="黑体" w:cs="微软雅黑"/>
                <w:sz w:val="21"/>
                <w:szCs w:val="21"/>
                <w:highlight w:val="none"/>
                <w:shd w:val="clear" w:color="auto" w:fill="auto"/>
              </w:rPr>
            </w:pPr>
          </w:p>
          <w:p>
            <w:pPr>
              <w:adjustRightInd/>
              <w:snapToGrid/>
              <w:spacing w:line="440" w:lineRule="exact"/>
              <w:ind w:firstLine="0" w:firstLineChars="0"/>
              <w:jc w:val="right"/>
              <w:rPr>
                <w:rFonts w:hint="eastAsia" w:ascii="Times New Roman" w:hAnsi="Times New Roman" w:eastAsia="黑体" w:cs="微软雅黑"/>
                <w:sz w:val="21"/>
                <w:szCs w:val="21"/>
                <w:highlight w:val="none"/>
                <w:shd w:val="clear" w:color="auto" w:fill="auto"/>
              </w:rPr>
            </w:pPr>
            <w:r>
              <w:rPr>
                <w:rFonts w:hint="eastAsia" w:ascii="Times New Roman" w:hAnsi="Times New Roman" w:eastAsia="黑体" w:cs="微软雅黑"/>
                <w:sz w:val="21"/>
                <w:szCs w:val="21"/>
                <w:highlight w:val="none"/>
                <w:shd w:val="clear" w:color="auto" w:fill="auto"/>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1" w:type="dxa"/>
            <w:gridSpan w:val="4"/>
            <w:noWrap w:val="0"/>
            <w:vAlign w:val="center"/>
          </w:tcPr>
          <w:p>
            <w:pPr>
              <w:adjustRightInd/>
              <w:snapToGrid/>
              <w:spacing w:line="440" w:lineRule="exact"/>
              <w:ind w:firstLine="0" w:firstLineChars="0"/>
              <w:jc w:val="left"/>
              <w:rPr>
                <w:rFonts w:ascii="Times New Roman" w:hAnsi="Times New Roman" w:eastAsia="黑体" w:cs="微软雅黑"/>
                <w:sz w:val="21"/>
                <w:szCs w:val="21"/>
                <w:highlight w:val="none"/>
                <w:shd w:val="clear" w:color="auto" w:fill="auto"/>
              </w:rPr>
            </w:pPr>
            <w:r>
              <w:rPr>
                <w:rFonts w:hint="eastAsia" w:ascii="Times New Roman" w:hAnsi="Times New Roman" w:eastAsia="黑体" w:cs="微软雅黑"/>
                <w:sz w:val="21"/>
                <w:szCs w:val="21"/>
                <w:highlight w:val="none"/>
                <w:shd w:val="clear" w:color="auto" w:fill="auto"/>
              </w:rPr>
              <w:t>电源项目申请单位承诺：</w:t>
            </w:r>
          </w:p>
          <w:p>
            <w:pPr>
              <w:adjustRightInd/>
              <w:snapToGrid/>
              <w:spacing w:line="440" w:lineRule="exact"/>
              <w:ind w:firstLine="0" w:firstLineChars="0"/>
              <w:jc w:val="left"/>
              <w:rPr>
                <w:rFonts w:ascii="Times New Roman" w:hAnsi="Times New Roman" w:eastAsia="黑体" w:cs="微软雅黑"/>
                <w:sz w:val="21"/>
                <w:szCs w:val="21"/>
                <w:highlight w:val="none"/>
                <w:shd w:val="clear" w:color="auto" w:fill="auto"/>
              </w:rPr>
            </w:pPr>
          </w:p>
          <w:p>
            <w:pPr>
              <w:adjustRightInd/>
              <w:snapToGrid/>
              <w:spacing w:line="440" w:lineRule="exact"/>
              <w:ind w:firstLine="0" w:firstLineChars="0"/>
              <w:jc w:val="left"/>
              <w:rPr>
                <w:rFonts w:ascii="Times New Roman" w:hAnsi="Times New Roman" w:eastAsia="黑体" w:cs="微软雅黑"/>
                <w:sz w:val="21"/>
                <w:szCs w:val="21"/>
                <w:highlight w:val="none"/>
                <w:shd w:val="clear" w:color="auto" w:fill="auto"/>
              </w:rPr>
            </w:pPr>
            <w:r>
              <w:rPr>
                <w:rFonts w:hint="eastAsia" w:ascii="Times New Roman" w:hAnsi="Times New Roman" w:eastAsia="黑体" w:cs="微软雅黑"/>
                <w:sz w:val="21"/>
                <w:szCs w:val="21"/>
                <w:highlight w:val="none"/>
                <w:shd w:val="clear" w:color="auto" w:fill="auto"/>
              </w:rPr>
              <w:t>本表填报的内容及提交的所有资料的原件或复印件及内容是真实的。如有任何虚假，受理机构可终止审核认定；如因虚假资料引致法律责任，概由本单位承担。</w:t>
            </w:r>
          </w:p>
          <w:p>
            <w:pPr>
              <w:adjustRightInd/>
              <w:snapToGrid/>
              <w:spacing w:line="440" w:lineRule="exact"/>
              <w:ind w:firstLine="0" w:firstLineChars="0"/>
              <w:jc w:val="left"/>
              <w:rPr>
                <w:rFonts w:ascii="Times New Roman" w:hAnsi="Times New Roman" w:eastAsia="黑体" w:cs="微软雅黑"/>
                <w:sz w:val="21"/>
                <w:szCs w:val="21"/>
                <w:highlight w:val="none"/>
                <w:shd w:val="clear" w:color="auto" w:fill="auto"/>
              </w:rPr>
            </w:pPr>
          </w:p>
          <w:p>
            <w:pPr>
              <w:adjustRightInd/>
              <w:snapToGrid/>
              <w:spacing w:line="440" w:lineRule="exact"/>
              <w:ind w:firstLine="0" w:firstLineChars="0"/>
              <w:jc w:val="left"/>
              <w:rPr>
                <w:rFonts w:ascii="Times New Roman" w:hAnsi="Times New Roman" w:eastAsia="黑体" w:cs="微软雅黑"/>
                <w:sz w:val="21"/>
                <w:szCs w:val="21"/>
                <w:highlight w:val="none"/>
                <w:shd w:val="clear" w:color="auto" w:fill="auto"/>
              </w:rPr>
            </w:pPr>
          </w:p>
          <w:p>
            <w:pPr>
              <w:adjustRightInd/>
              <w:snapToGrid/>
              <w:spacing w:line="440" w:lineRule="exact"/>
              <w:ind w:firstLine="0" w:firstLineChars="0"/>
              <w:jc w:val="left"/>
              <w:rPr>
                <w:rFonts w:ascii="Times New Roman" w:hAnsi="Times New Roman" w:eastAsia="黑体" w:cs="微软雅黑"/>
                <w:sz w:val="21"/>
                <w:szCs w:val="21"/>
                <w:highlight w:val="none"/>
                <w:shd w:val="clear" w:color="auto" w:fill="auto"/>
              </w:rPr>
            </w:pPr>
          </w:p>
          <w:p>
            <w:pPr>
              <w:adjustRightInd/>
              <w:snapToGrid/>
              <w:spacing w:line="440" w:lineRule="exact"/>
              <w:ind w:firstLine="0" w:firstLineChars="0"/>
              <w:jc w:val="left"/>
              <w:rPr>
                <w:rFonts w:ascii="Times New Roman" w:hAnsi="Times New Roman" w:eastAsia="黑体" w:cs="微软雅黑"/>
                <w:sz w:val="21"/>
                <w:szCs w:val="21"/>
                <w:highlight w:val="none"/>
                <w:shd w:val="clear" w:color="auto" w:fill="auto"/>
              </w:rPr>
            </w:pPr>
            <w:r>
              <w:rPr>
                <w:rFonts w:hint="eastAsia" w:ascii="Times New Roman" w:hAnsi="Times New Roman" w:eastAsia="黑体" w:cs="微软雅黑"/>
                <w:sz w:val="21"/>
                <w:szCs w:val="21"/>
                <w:highlight w:val="none"/>
                <w:shd w:val="clear" w:color="auto" w:fill="auto"/>
                <w:lang w:val="en-US" w:eastAsia="zh-CN"/>
              </w:rPr>
              <w:t>电源项目</w:t>
            </w:r>
            <w:r>
              <w:rPr>
                <w:rFonts w:hint="eastAsia" w:ascii="Times New Roman" w:hAnsi="Times New Roman" w:eastAsia="黑体" w:cs="微软雅黑"/>
                <w:sz w:val="21"/>
                <w:szCs w:val="21"/>
                <w:highlight w:val="none"/>
                <w:shd w:val="clear" w:color="auto" w:fill="auto"/>
              </w:rPr>
              <w:t>单位</w:t>
            </w:r>
            <w:r>
              <w:rPr>
                <w:rFonts w:hint="eastAsia" w:ascii="Times New Roman" w:hAnsi="Times New Roman" w:eastAsia="黑体" w:cs="微软雅黑"/>
                <w:sz w:val="21"/>
                <w:szCs w:val="21"/>
                <w:highlight w:val="none"/>
                <w:shd w:val="clear" w:color="auto" w:fill="auto"/>
                <w:lang w:val="en-US" w:eastAsia="zh-CN"/>
              </w:rPr>
              <w:t>1</w:t>
            </w:r>
            <w:r>
              <w:rPr>
                <w:rFonts w:hint="eastAsia" w:ascii="Times New Roman" w:hAnsi="Times New Roman" w:eastAsia="黑体" w:cs="微软雅黑"/>
                <w:sz w:val="21"/>
                <w:szCs w:val="21"/>
                <w:highlight w:val="none"/>
                <w:shd w:val="clear" w:color="auto" w:fill="auto"/>
              </w:rPr>
              <w:t>（盖章）：                                法定代表人（签字）：</w:t>
            </w:r>
          </w:p>
          <w:p>
            <w:pPr>
              <w:adjustRightInd/>
              <w:snapToGrid/>
              <w:spacing w:line="440" w:lineRule="exact"/>
              <w:ind w:firstLine="0" w:firstLineChars="0"/>
              <w:jc w:val="left"/>
              <w:rPr>
                <w:rFonts w:ascii="Times New Roman" w:hAnsi="Times New Roman" w:eastAsia="黑体" w:cs="微软雅黑"/>
                <w:sz w:val="21"/>
                <w:szCs w:val="21"/>
                <w:highlight w:val="none"/>
                <w:shd w:val="clear" w:color="auto" w:fill="auto"/>
              </w:rPr>
            </w:pPr>
          </w:p>
          <w:p>
            <w:pPr>
              <w:adjustRightInd/>
              <w:snapToGrid/>
              <w:spacing w:line="440" w:lineRule="exact"/>
              <w:ind w:firstLine="0" w:firstLineChars="0"/>
              <w:jc w:val="right"/>
              <w:rPr>
                <w:rFonts w:hint="eastAsia" w:ascii="Times New Roman" w:hAnsi="Times New Roman" w:eastAsia="黑体" w:cs="微软雅黑"/>
                <w:sz w:val="21"/>
                <w:szCs w:val="21"/>
                <w:highlight w:val="none"/>
                <w:shd w:val="clear" w:color="auto" w:fill="auto"/>
              </w:rPr>
            </w:pPr>
            <w:r>
              <w:rPr>
                <w:rFonts w:hint="eastAsia" w:ascii="Times New Roman" w:hAnsi="Times New Roman" w:eastAsia="黑体" w:cs="微软雅黑"/>
                <w:sz w:val="21"/>
                <w:szCs w:val="21"/>
                <w:highlight w:val="none"/>
                <w:shd w:val="clear" w:color="auto" w:fill="auto"/>
              </w:rPr>
              <w:t>年   月   日</w:t>
            </w:r>
          </w:p>
          <w:p>
            <w:pPr>
              <w:adjustRightInd/>
              <w:snapToGrid/>
              <w:spacing w:line="440" w:lineRule="exact"/>
              <w:ind w:firstLine="0" w:firstLineChars="0"/>
              <w:jc w:val="right"/>
              <w:rPr>
                <w:rFonts w:hint="eastAsia" w:ascii="Times New Roman" w:hAnsi="Times New Roman" w:eastAsia="黑体" w:cs="微软雅黑"/>
                <w:sz w:val="21"/>
                <w:szCs w:val="21"/>
                <w:highlight w:val="none"/>
                <w:shd w:val="clear" w:color="auto" w:fill="auto"/>
              </w:rPr>
            </w:pPr>
          </w:p>
          <w:p>
            <w:pPr>
              <w:adjustRightInd/>
              <w:snapToGrid/>
              <w:spacing w:line="440" w:lineRule="exact"/>
              <w:ind w:firstLine="0" w:firstLineChars="0"/>
              <w:jc w:val="right"/>
              <w:rPr>
                <w:rFonts w:hint="eastAsia" w:ascii="Times New Roman" w:hAnsi="Times New Roman" w:eastAsia="黑体" w:cs="微软雅黑"/>
                <w:sz w:val="21"/>
                <w:szCs w:val="21"/>
                <w:highlight w:val="none"/>
                <w:shd w:val="clear" w:color="auto" w:fill="auto"/>
              </w:rPr>
            </w:pPr>
          </w:p>
          <w:p>
            <w:pPr>
              <w:adjustRightInd/>
              <w:snapToGrid/>
              <w:spacing w:line="440" w:lineRule="exact"/>
              <w:ind w:firstLine="0" w:firstLineChars="0"/>
              <w:jc w:val="left"/>
              <w:rPr>
                <w:rFonts w:ascii="Times New Roman" w:hAnsi="Times New Roman" w:eastAsia="黑体" w:cs="微软雅黑"/>
                <w:sz w:val="21"/>
                <w:szCs w:val="21"/>
                <w:highlight w:val="none"/>
                <w:shd w:val="clear" w:color="auto" w:fill="auto"/>
              </w:rPr>
            </w:pPr>
            <w:r>
              <w:rPr>
                <w:rFonts w:hint="eastAsia" w:ascii="Times New Roman" w:hAnsi="Times New Roman" w:eastAsia="黑体" w:cs="微软雅黑"/>
                <w:sz w:val="21"/>
                <w:szCs w:val="21"/>
                <w:highlight w:val="none"/>
                <w:shd w:val="clear" w:color="auto" w:fill="auto"/>
                <w:lang w:val="en-US" w:eastAsia="zh-CN"/>
              </w:rPr>
              <w:t>电源项目</w:t>
            </w:r>
            <w:r>
              <w:rPr>
                <w:rFonts w:hint="eastAsia" w:ascii="Times New Roman" w:hAnsi="Times New Roman" w:eastAsia="黑体" w:cs="微软雅黑"/>
                <w:sz w:val="21"/>
                <w:szCs w:val="21"/>
                <w:highlight w:val="none"/>
                <w:shd w:val="clear" w:color="auto" w:fill="auto"/>
              </w:rPr>
              <w:t>单位</w:t>
            </w:r>
            <w:r>
              <w:rPr>
                <w:rFonts w:hint="eastAsia" w:ascii="Times New Roman" w:hAnsi="Times New Roman" w:eastAsia="黑体" w:cs="微软雅黑"/>
                <w:sz w:val="21"/>
                <w:szCs w:val="21"/>
                <w:highlight w:val="none"/>
                <w:shd w:val="clear" w:color="auto" w:fill="auto"/>
                <w:lang w:val="en-US" w:eastAsia="zh-CN"/>
              </w:rPr>
              <w:t>2</w:t>
            </w:r>
            <w:r>
              <w:rPr>
                <w:rFonts w:hint="eastAsia" w:ascii="Times New Roman" w:hAnsi="Times New Roman" w:eastAsia="黑体" w:cs="微软雅黑"/>
                <w:sz w:val="21"/>
                <w:szCs w:val="21"/>
                <w:highlight w:val="none"/>
                <w:shd w:val="clear" w:color="auto" w:fill="auto"/>
              </w:rPr>
              <w:t>（盖章）：                                法定代表人（签字）：</w:t>
            </w:r>
          </w:p>
          <w:p>
            <w:pPr>
              <w:adjustRightInd/>
              <w:snapToGrid/>
              <w:spacing w:line="440" w:lineRule="exact"/>
              <w:ind w:firstLine="0" w:firstLineChars="0"/>
              <w:jc w:val="left"/>
              <w:rPr>
                <w:rFonts w:ascii="Times New Roman" w:hAnsi="Times New Roman" w:eastAsia="黑体" w:cs="微软雅黑"/>
                <w:sz w:val="21"/>
                <w:szCs w:val="21"/>
                <w:highlight w:val="none"/>
                <w:shd w:val="clear" w:color="auto" w:fill="auto"/>
              </w:rPr>
            </w:pPr>
          </w:p>
          <w:p>
            <w:pPr>
              <w:adjustRightInd/>
              <w:snapToGrid/>
              <w:spacing w:line="440" w:lineRule="exact"/>
              <w:ind w:firstLine="0" w:firstLineChars="0"/>
              <w:jc w:val="right"/>
              <w:rPr>
                <w:rFonts w:hint="eastAsia" w:ascii="Times New Roman" w:hAnsi="Times New Roman" w:eastAsia="黑体" w:cs="微软雅黑"/>
                <w:sz w:val="21"/>
                <w:szCs w:val="21"/>
                <w:highlight w:val="none"/>
                <w:shd w:val="clear" w:color="auto" w:fill="auto"/>
              </w:rPr>
            </w:pPr>
            <w:r>
              <w:rPr>
                <w:rFonts w:hint="eastAsia" w:ascii="Times New Roman" w:hAnsi="Times New Roman" w:eastAsia="黑体" w:cs="微软雅黑"/>
                <w:sz w:val="21"/>
                <w:szCs w:val="21"/>
                <w:highlight w:val="none"/>
                <w:shd w:val="clear" w:color="auto" w:fill="auto"/>
              </w:rPr>
              <w:t>年   月   日</w:t>
            </w:r>
          </w:p>
          <w:p>
            <w:pPr>
              <w:adjustRightInd/>
              <w:snapToGrid/>
              <w:spacing w:line="440" w:lineRule="exact"/>
              <w:ind w:firstLine="0" w:firstLineChars="0"/>
              <w:jc w:val="right"/>
              <w:rPr>
                <w:rFonts w:hint="eastAsia" w:ascii="Times New Roman" w:hAnsi="Times New Roman" w:eastAsia="黑体" w:cs="微软雅黑"/>
                <w:sz w:val="21"/>
                <w:szCs w:val="21"/>
                <w:highlight w:val="none"/>
                <w:shd w:val="clear" w:color="auto" w:fill="auto"/>
              </w:rPr>
            </w:pPr>
          </w:p>
          <w:p>
            <w:pPr>
              <w:adjustRightInd/>
              <w:snapToGrid/>
              <w:spacing w:line="440" w:lineRule="exact"/>
              <w:ind w:firstLine="0" w:firstLineChars="0"/>
              <w:jc w:val="right"/>
              <w:rPr>
                <w:rFonts w:hint="eastAsia" w:ascii="Times New Roman" w:hAnsi="Times New Roman" w:eastAsia="黑体" w:cs="微软雅黑"/>
                <w:sz w:val="21"/>
                <w:szCs w:val="21"/>
                <w:highlight w:val="none"/>
                <w:shd w:val="clear" w:color="auto" w:fill="auto"/>
              </w:rPr>
            </w:pPr>
          </w:p>
          <w:p>
            <w:pPr>
              <w:adjustRightInd/>
              <w:snapToGrid/>
              <w:spacing w:line="440" w:lineRule="exact"/>
              <w:ind w:firstLine="0" w:firstLineChars="0"/>
              <w:jc w:val="left"/>
              <w:rPr>
                <w:rFonts w:ascii="Times New Roman" w:hAnsi="Times New Roman" w:eastAsia="黑体" w:cs="微软雅黑"/>
                <w:sz w:val="21"/>
                <w:szCs w:val="21"/>
                <w:highlight w:val="none"/>
                <w:shd w:val="clear" w:color="auto" w:fill="auto"/>
              </w:rPr>
            </w:pPr>
            <w:r>
              <w:rPr>
                <w:rFonts w:hint="eastAsia" w:ascii="Times New Roman" w:hAnsi="Times New Roman" w:eastAsia="黑体" w:cs="微软雅黑"/>
                <w:sz w:val="21"/>
                <w:szCs w:val="21"/>
                <w:highlight w:val="none"/>
                <w:shd w:val="clear" w:color="auto" w:fill="auto"/>
                <w:lang w:val="en-US" w:eastAsia="zh-CN"/>
              </w:rPr>
              <w:t>电源项目</w:t>
            </w:r>
            <w:r>
              <w:rPr>
                <w:rFonts w:hint="eastAsia" w:ascii="Times New Roman" w:hAnsi="Times New Roman" w:eastAsia="黑体" w:cs="微软雅黑"/>
                <w:sz w:val="21"/>
                <w:szCs w:val="21"/>
                <w:highlight w:val="none"/>
                <w:shd w:val="clear" w:color="auto" w:fill="auto"/>
              </w:rPr>
              <w:t>单位</w:t>
            </w:r>
            <w:r>
              <w:rPr>
                <w:rFonts w:hint="eastAsia" w:ascii="Times New Roman" w:hAnsi="Times New Roman" w:eastAsia="黑体" w:cs="微软雅黑"/>
                <w:sz w:val="21"/>
                <w:szCs w:val="21"/>
                <w:highlight w:val="none"/>
                <w:shd w:val="clear" w:color="auto" w:fill="auto"/>
                <w:lang w:val="en-US" w:eastAsia="zh-CN"/>
              </w:rPr>
              <w:t>3</w:t>
            </w:r>
            <w:r>
              <w:rPr>
                <w:rFonts w:hint="eastAsia" w:ascii="Times New Roman" w:hAnsi="Times New Roman" w:eastAsia="黑体" w:cs="微软雅黑"/>
                <w:sz w:val="21"/>
                <w:szCs w:val="21"/>
                <w:highlight w:val="none"/>
                <w:shd w:val="clear" w:color="auto" w:fill="auto"/>
              </w:rPr>
              <w:t>（盖章）：                                法定代表人（签字）：</w:t>
            </w:r>
          </w:p>
          <w:p>
            <w:pPr>
              <w:adjustRightInd/>
              <w:snapToGrid/>
              <w:spacing w:line="440" w:lineRule="exact"/>
              <w:ind w:firstLine="0" w:firstLineChars="0"/>
              <w:jc w:val="left"/>
              <w:rPr>
                <w:rFonts w:ascii="Times New Roman" w:hAnsi="Times New Roman" w:eastAsia="黑体" w:cs="微软雅黑"/>
                <w:sz w:val="21"/>
                <w:szCs w:val="21"/>
                <w:highlight w:val="none"/>
                <w:shd w:val="clear" w:color="auto" w:fill="auto"/>
              </w:rPr>
            </w:pPr>
          </w:p>
          <w:p>
            <w:pPr>
              <w:adjustRightInd/>
              <w:snapToGrid/>
              <w:spacing w:line="440" w:lineRule="exact"/>
              <w:ind w:firstLine="0" w:firstLineChars="0"/>
              <w:jc w:val="right"/>
              <w:rPr>
                <w:rFonts w:hint="eastAsia" w:ascii="Times New Roman" w:hAnsi="Times New Roman" w:eastAsia="黑体" w:cs="微软雅黑"/>
                <w:sz w:val="21"/>
                <w:szCs w:val="21"/>
                <w:highlight w:val="none"/>
                <w:shd w:val="clear" w:color="auto" w:fill="auto"/>
              </w:rPr>
            </w:pPr>
            <w:r>
              <w:rPr>
                <w:rFonts w:hint="eastAsia" w:ascii="Times New Roman" w:hAnsi="Times New Roman" w:eastAsia="黑体" w:cs="微软雅黑"/>
                <w:sz w:val="21"/>
                <w:szCs w:val="21"/>
                <w:highlight w:val="none"/>
                <w:shd w:val="clear" w:color="auto" w:fill="auto"/>
              </w:rPr>
              <w:t>年   月   日</w:t>
            </w:r>
          </w:p>
        </w:tc>
      </w:tr>
    </w:tbl>
    <w:p>
      <w:pPr>
        <w:rPr>
          <w:rFonts w:ascii="Times New Roman" w:hAnsi="Times New Roman"/>
          <w:highlight w:val="none"/>
        </w:rPr>
      </w:pPr>
    </w:p>
    <w:p>
      <w:pPr>
        <w:adjustRightInd/>
        <w:snapToGrid/>
        <w:spacing w:line="600" w:lineRule="exact"/>
        <w:ind w:firstLine="0" w:firstLineChars="0"/>
        <w:outlineLvl w:val="9"/>
        <w:rPr>
          <w:rFonts w:hint="eastAsia" w:ascii="Times New Roman" w:hAnsi="Times New Roman" w:eastAsia="黑体" w:cs="黑体"/>
          <w:sz w:val="28"/>
          <w:szCs w:val="24"/>
          <w:highlight w:val="none"/>
          <w:shd w:val="clear" w:color="auto" w:fill="auto"/>
        </w:rPr>
        <w:sectPr>
          <w:pgSz w:w="11906" w:h="16838"/>
          <w:pgMar w:top="2098" w:right="1474" w:bottom="1984" w:left="1587" w:header="851" w:footer="1417" w:gutter="0"/>
          <w:pgNumType w:fmt="decimal"/>
          <w:cols w:space="0" w:num="1"/>
          <w:rtlGutter w:val="0"/>
          <w:docGrid w:type="lines" w:linePitch="312" w:charSpace="0"/>
        </w:sectPr>
      </w:pPr>
    </w:p>
    <w:p>
      <w:pPr>
        <w:adjustRightInd/>
        <w:snapToGrid/>
        <w:spacing w:line="600" w:lineRule="exact"/>
        <w:ind w:firstLine="0" w:firstLineChars="0"/>
        <w:outlineLvl w:val="9"/>
        <w:rPr>
          <w:rFonts w:ascii="Times New Roman" w:hAnsi="Times New Roman" w:eastAsia="黑体" w:cs="Times New Roman"/>
          <w:sz w:val="28"/>
          <w:szCs w:val="24"/>
          <w:highlight w:val="none"/>
          <w:shd w:val="clear" w:color="auto" w:fill="auto"/>
        </w:rPr>
      </w:pPr>
      <w:r>
        <w:rPr>
          <w:rFonts w:hint="eastAsia" w:ascii="Times New Roman" w:hAnsi="Times New Roman" w:eastAsia="黑体" w:cs="黑体"/>
          <w:sz w:val="28"/>
          <w:szCs w:val="24"/>
          <w:highlight w:val="none"/>
          <w:shd w:val="clear" w:color="auto" w:fill="auto"/>
        </w:rPr>
        <w:t>附件</w:t>
      </w:r>
      <w:r>
        <w:rPr>
          <w:rFonts w:hint="default" w:ascii="Times New Roman" w:hAnsi="Times New Roman" w:eastAsia="黑体" w:cs="Times New Roman"/>
          <w:sz w:val="28"/>
          <w:szCs w:val="24"/>
          <w:highlight w:val="none"/>
          <w:shd w:val="clear" w:color="auto" w:fill="auto"/>
        </w:rPr>
        <w:t>3</w:t>
      </w:r>
    </w:p>
    <w:p>
      <w:pPr>
        <w:spacing w:line="640" w:lineRule="exact"/>
        <w:ind w:firstLine="0" w:firstLineChars="0"/>
        <w:jc w:val="center"/>
        <w:rPr>
          <w:rFonts w:hint="eastAsia" w:ascii="Times New Roman" w:hAnsi="Times New Roman" w:eastAsia="方正小标宋简体" w:cs="方正小标宋简体"/>
          <w:b w:val="0"/>
          <w:bCs w:val="0"/>
          <w:sz w:val="44"/>
          <w:szCs w:val="44"/>
          <w:highlight w:val="none"/>
          <w:shd w:val="clear"/>
          <w:lang w:eastAsia="zh-CN"/>
        </w:rPr>
      </w:pPr>
      <w:r>
        <w:rPr>
          <w:rFonts w:hint="eastAsia" w:ascii="Times New Roman" w:hAnsi="Times New Roman" w:eastAsia="方正小标宋简体" w:cs="方正小标宋简体"/>
          <w:b w:val="0"/>
          <w:bCs w:val="0"/>
          <w:sz w:val="44"/>
          <w:szCs w:val="44"/>
          <w:highlight w:val="none"/>
          <w:shd w:val="clear"/>
        </w:rPr>
        <w:t>绿电直连项目</w:t>
      </w:r>
      <w:r>
        <w:rPr>
          <w:rFonts w:hint="eastAsia" w:ascii="Times New Roman" w:hAnsi="Times New Roman" w:eastAsia="方正小标宋简体" w:cs="方正小标宋简体"/>
          <w:b w:val="0"/>
          <w:bCs w:val="0"/>
          <w:sz w:val="44"/>
          <w:szCs w:val="44"/>
          <w:highlight w:val="none"/>
          <w:shd w:val="clear"/>
          <w:lang w:val="en-US" w:eastAsia="zh-CN"/>
        </w:rPr>
        <w:t>信息</w:t>
      </w:r>
      <w:r>
        <w:rPr>
          <w:rFonts w:hint="eastAsia" w:ascii="Times New Roman" w:hAnsi="Times New Roman" w:eastAsia="方正小标宋简体" w:cs="方正小标宋简体"/>
          <w:b w:val="0"/>
          <w:bCs w:val="0"/>
          <w:sz w:val="44"/>
          <w:szCs w:val="44"/>
          <w:highlight w:val="none"/>
          <w:shd w:val="clear"/>
        </w:rPr>
        <w:t>汇总表</w:t>
      </w:r>
    </w:p>
    <w:tbl>
      <w:tblPr>
        <w:tblStyle w:val="4"/>
        <w:tblW w:w="19945" w:type="dxa"/>
        <w:jc w:val="center"/>
        <w:tblLayout w:type="autofit"/>
        <w:tblCellMar>
          <w:top w:w="0" w:type="dxa"/>
          <w:left w:w="108" w:type="dxa"/>
          <w:bottom w:w="0" w:type="dxa"/>
          <w:right w:w="108" w:type="dxa"/>
        </w:tblCellMar>
      </w:tblPr>
      <w:tblGrid>
        <w:gridCol w:w="367"/>
        <w:gridCol w:w="369"/>
        <w:gridCol w:w="521"/>
        <w:gridCol w:w="369"/>
        <w:gridCol w:w="372"/>
        <w:gridCol w:w="520"/>
        <w:gridCol w:w="522"/>
        <w:gridCol w:w="372"/>
        <w:gridCol w:w="669"/>
        <w:gridCol w:w="367"/>
        <w:gridCol w:w="373"/>
        <w:gridCol w:w="367"/>
        <w:gridCol w:w="367"/>
        <w:gridCol w:w="367"/>
        <w:gridCol w:w="367"/>
        <w:gridCol w:w="678"/>
        <w:gridCol w:w="684"/>
        <w:gridCol w:w="710"/>
        <w:gridCol w:w="894"/>
        <w:gridCol w:w="669"/>
        <w:gridCol w:w="367"/>
        <w:gridCol w:w="809"/>
        <w:gridCol w:w="676"/>
        <w:gridCol w:w="367"/>
        <w:gridCol w:w="539"/>
        <w:gridCol w:w="684"/>
        <w:gridCol w:w="383"/>
        <w:gridCol w:w="726"/>
        <w:gridCol w:w="710"/>
        <w:gridCol w:w="809"/>
        <w:gridCol w:w="893"/>
        <w:gridCol w:w="674"/>
        <w:gridCol w:w="673"/>
        <w:gridCol w:w="673"/>
        <w:gridCol w:w="671"/>
        <w:gridCol w:w="367"/>
      </w:tblGrid>
      <w:tr>
        <w:tblPrEx>
          <w:tblCellMar>
            <w:top w:w="0" w:type="dxa"/>
            <w:left w:w="108" w:type="dxa"/>
            <w:bottom w:w="0" w:type="dxa"/>
            <w:right w:w="108" w:type="dxa"/>
          </w:tblCellMar>
        </w:tblPrEx>
        <w:trPr>
          <w:trHeight w:val="0" w:hRule="atLeast"/>
          <w:tblHeader/>
          <w:jc w:val="center"/>
        </w:trPr>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sz w:val="15"/>
                <w:szCs w:val="15"/>
                <w:highlight w:val="none"/>
                <w:shd w:val="clear" w:color="auto" w:fill="auto"/>
              </w:rPr>
            </w:pPr>
            <w:r>
              <w:rPr>
                <w:rFonts w:hint="eastAsia" w:ascii="Times New Roman" w:hAnsi="Times New Roman" w:eastAsia="黑体" w:cs="黑体"/>
                <w:b/>
                <w:bCs w:val="0"/>
                <w:color w:val="000000"/>
                <w:kern w:val="0"/>
                <w:sz w:val="15"/>
                <w:szCs w:val="15"/>
                <w:highlight w:val="none"/>
                <w:shd w:val="clear" w:color="auto" w:fill="auto"/>
                <w:lang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sz w:val="15"/>
                <w:szCs w:val="15"/>
                <w:highlight w:val="none"/>
                <w:shd w:val="clear" w:color="auto" w:fill="auto"/>
              </w:rPr>
            </w:pPr>
            <w:r>
              <w:rPr>
                <w:rFonts w:hint="eastAsia" w:ascii="Times New Roman" w:hAnsi="Times New Roman" w:eastAsia="黑体" w:cs="黑体"/>
                <w:b/>
                <w:bCs w:val="0"/>
                <w:color w:val="000000"/>
                <w:kern w:val="0"/>
                <w:sz w:val="15"/>
                <w:szCs w:val="15"/>
                <w:highlight w:val="none"/>
                <w:shd w:val="clear" w:color="auto" w:fill="auto"/>
                <w:lang w:bidi="ar"/>
              </w:rPr>
              <w:t>项目名称</w:t>
            </w: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项目类型</w:t>
            </w:r>
          </w:p>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sz w:val="15"/>
                <w:szCs w:val="15"/>
                <w:highlight w:val="none"/>
                <w:shd w:val="clear" w:color="auto" w:fill="auto"/>
              </w:rPr>
            </w:pPr>
            <w:r>
              <w:rPr>
                <w:rFonts w:hint="eastAsia" w:ascii="Times New Roman" w:hAnsi="Times New Roman" w:eastAsia="黑体" w:cs="黑体"/>
                <w:b/>
                <w:bCs w:val="0"/>
                <w:color w:val="000000"/>
                <w:kern w:val="0"/>
                <w:sz w:val="15"/>
                <w:szCs w:val="15"/>
                <w:highlight w:val="none"/>
                <w:shd w:val="clear" w:color="auto" w:fill="auto"/>
                <w:lang w:bidi="ar"/>
              </w:rPr>
              <w:t>（并网型/离网型）</w:t>
            </w:r>
          </w:p>
        </w:tc>
        <w:tc>
          <w:tcPr>
            <w:tcW w:w="0" w:type="auto"/>
            <w:vMerge w:val="restart"/>
            <w:tcBorders>
              <w:top w:val="single" w:color="000000" w:sz="4" w:space="0"/>
              <w:left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主责单位</w:t>
            </w:r>
          </w:p>
        </w:tc>
        <w:tc>
          <w:tcPr>
            <w:tcW w:w="0" w:type="auto"/>
            <w:vMerge w:val="restart"/>
            <w:tcBorders>
              <w:top w:val="single" w:color="000000" w:sz="4" w:space="0"/>
              <w:left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sz w:val="15"/>
                <w:szCs w:val="15"/>
                <w:highlight w:val="none"/>
                <w:shd w:val="clear" w:color="auto" w:fill="auto"/>
                <w:lang w:val="en-US" w:eastAsia="zh-CN"/>
              </w:rPr>
              <w:t>项目联系人及联系方式</w:t>
            </w:r>
          </w:p>
        </w:tc>
        <w:tc>
          <w:tcPr>
            <w:tcW w:w="0" w:type="auto"/>
            <w:vMerge w:val="restart"/>
            <w:tcBorders>
              <w:top w:val="single" w:color="000000" w:sz="4" w:space="0"/>
              <w:left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sz w:val="15"/>
                <w:szCs w:val="15"/>
                <w:highlight w:val="none"/>
                <w:shd w:val="clear" w:color="auto" w:fill="auto"/>
                <w:lang w:val="en-US" w:eastAsia="zh-CN"/>
              </w:rPr>
            </w:pPr>
            <w:r>
              <w:rPr>
                <w:rFonts w:hint="eastAsia" w:ascii="Times New Roman" w:hAnsi="Times New Roman" w:eastAsia="黑体" w:cs="黑体"/>
                <w:b/>
                <w:bCs w:val="0"/>
                <w:color w:val="000000"/>
                <w:sz w:val="15"/>
                <w:szCs w:val="15"/>
                <w:highlight w:val="none"/>
                <w:shd w:val="clear" w:color="auto" w:fill="auto"/>
                <w:lang w:val="en-US" w:eastAsia="zh-CN"/>
              </w:rPr>
              <w:t>项目总投资</w:t>
            </w:r>
          </w:p>
          <w:p>
            <w:pPr>
              <w:widowControl w:val="0"/>
              <w:snapToGrid/>
              <w:spacing w:line="240" w:lineRule="auto"/>
              <w:ind w:left="0" w:leftChars="0" w:right="0" w:rightChars="0" w:firstLine="0" w:firstLineChars="0"/>
              <w:jc w:val="center"/>
              <w:textAlignment w:val="center"/>
              <w:rPr>
                <w:rFonts w:hint="default" w:ascii="Times New Roman" w:hAnsi="Times New Roman" w:eastAsia="黑体" w:cs="黑体"/>
                <w:b/>
                <w:bCs w:val="0"/>
                <w:color w:val="000000"/>
                <w:sz w:val="15"/>
                <w:szCs w:val="15"/>
                <w:highlight w:val="none"/>
                <w:shd w:val="clear" w:color="auto" w:fill="auto"/>
                <w:lang w:val="en-US" w:eastAsia="zh-CN"/>
              </w:rPr>
            </w:pPr>
            <w:r>
              <w:rPr>
                <w:rFonts w:hint="eastAsia" w:ascii="Times New Roman" w:hAnsi="Times New Roman" w:eastAsia="黑体" w:cs="黑体"/>
                <w:b/>
                <w:bCs w:val="0"/>
                <w:color w:val="000000"/>
                <w:sz w:val="15"/>
                <w:szCs w:val="15"/>
                <w:highlight w:val="none"/>
                <w:shd w:val="clear" w:color="auto" w:fill="auto"/>
                <w:lang w:val="en-US" w:eastAsia="zh-CN"/>
              </w:rPr>
              <w:t>（亿元）</w:t>
            </w:r>
          </w:p>
        </w:tc>
        <w:tc>
          <w:tcPr>
            <w:tcW w:w="0" w:type="auto"/>
            <w:vMerge w:val="restart"/>
            <w:tcBorders>
              <w:top w:val="single" w:color="000000" w:sz="4" w:space="0"/>
              <w:left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sz w:val="15"/>
                <w:szCs w:val="15"/>
                <w:highlight w:val="none"/>
                <w:shd w:val="clear" w:color="auto" w:fill="auto"/>
                <w:lang w:val="en-US" w:eastAsia="zh-CN"/>
              </w:rPr>
            </w:pPr>
            <w:r>
              <w:rPr>
                <w:rFonts w:hint="eastAsia" w:ascii="Times New Roman" w:hAnsi="Times New Roman" w:eastAsia="黑体" w:cs="黑体"/>
                <w:b/>
                <w:bCs w:val="0"/>
                <w:color w:val="000000"/>
                <w:sz w:val="15"/>
                <w:szCs w:val="15"/>
                <w:highlight w:val="none"/>
                <w:shd w:val="clear" w:color="auto" w:fill="auto"/>
                <w:lang w:val="en-US" w:eastAsia="zh-CN"/>
              </w:rPr>
              <w:t>项目预计建设起止时间</w:t>
            </w:r>
          </w:p>
          <w:p>
            <w:pPr>
              <w:widowControl w:val="0"/>
              <w:snapToGrid/>
              <w:spacing w:line="240" w:lineRule="auto"/>
              <w:ind w:left="0" w:leftChars="0" w:right="0" w:rightChars="0" w:firstLine="0" w:firstLineChars="0"/>
              <w:jc w:val="center"/>
              <w:textAlignment w:val="center"/>
              <w:rPr>
                <w:rFonts w:hint="default" w:ascii="Times New Roman" w:hAnsi="Times New Roman" w:eastAsia="黑体" w:cs="黑体"/>
                <w:b/>
                <w:bCs w:val="0"/>
                <w:color w:val="000000"/>
                <w:sz w:val="15"/>
                <w:szCs w:val="15"/>
                <w:highlight w:val="none"/>
                <w:shd w:val="clear" w:color="auto" w:fill="auto"/>
                <w:lang w:val="en-US" w:eastAsia="zh-CN"/>
              </w:rPr>
            </w:pPr>
            <w:r>
              <w:rPr>
                <w:rFonts w:hint="eastAsia" w:ascii="Times New Roman" w:hAnsi="Times New Roman" w:eastAsia="黑体" w:cs="黑体"/>
                <w:b/>
                <w:bCs w:val="0"/>
                <w:color w:val="000000"/>
                <w:sz w:val="15"/>
                <w:szCs w:val="15"/>
                <w:highlight w:val="none"/>
                <w:shd w:val="clear" w:color="auto" w:fill="auto"/>
                <w:lang w:val="en-US" w:eastAsia="zh-CN"/>
              </w:rPr>
              <w:t>（年月）</w:t>
            </w:r>
          </w:p>
        </w:tc>
        <w:tc>
          <w:tcPr>
            <w:tcW w:w="0" w:type="auto"/>
            <w:vMerge w:val="restart"/>
            <w:tcBorders>
              <w:top w:val="single" w:color="000000" w:sz="4" w:space="0"/>
              <w:left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sz w:val="15"/>
                <w:szCs w:val="15"/>
                <w:highlight w:val="none"/>
                <w:shd w:val="clear" w:color="auto" w:fill="auto"/>
                <w:lang w:val="en-US" w:eastAsia="zh-CN"/>
              </w:rPr>
            </w:pPr>
            <w:r>
              <w:rPr>
                <w:rFonts w:hint="eastAsia" w:ascii="Times New Roman" w:hAnsi="Times New Roman" w:eastAsia="黑体" w:cs="黑体"/>
                <w:b/>
                <w:bCs w:val="0"/>
                <w:color w:val="000000"/>
                <w:sz w:val="15"/>
                <w:szCs w:val="15"/>
                <w:highlight w:val="none"/>
                <w:shd w:val="clear" w:color="auto" w:fill="auto"/>
                <w:lang w:val="en-US" w:eastAsia="zh-CN"/>
              </w:rPr>
              <w:t>项目输配电费缴纳方式</w:t>
            </w:r>
          </w:p>
        </w:tc>
        <w:tc>
          <w:tcPr>
            <w:tcW w:w="0" w:type="auto"/>
            <w:gridSpan w:val="11"/>
            <w:tcBorders>
              <w:top w:val="single" w:color="000000" w:sz="4" w:space="0"/>
              <w:left w:val="single" w:color="000000" w:sz="4" w:space="0"/>
              <w:bottom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负荷情况</w:t>
            </w:r>
          </w:p>
        </w:tc>
        <w:tc>
          <w:tcPr>
            <w:tcW w:w="0" w:type="auto"/>
            <w:gridSpan w:val="8"/>
            <w:tcBorders>
              <w:top w:val="single" w:color="000000" w:sz="4" w:space="0"/>
              <w:left w:val="single" w:color="000000" w:sz="4" w:space="0"/>
              <w:bottom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电源情况</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直连线路情况</w:t>
            </w:r>
          </w:p>
        </w:tc>
        <w:tc>
          <w:tcPr>
            <w:tcW w:w="1702"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储能情况</w:t>
            </w:r>
          </w:p>
        </w:tc>
        <w:tc>
          <w:tcPr>
            <w:tcW w:w="2691"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源荷匹配情况</w:t>
            </w:r>
          </w:p>
        </w:tc>
        <w:tc>
          <w:tcPr>
            <w:tcW w:w="367" w:type="dxa"/>
            <w:tcBorders>
              <w:top w:val="single" w:color="000000" w:sz="4" w:space="0"/>
              <w:left w:val="single" w:color="000000" w:sz="4" w:space="0"/>
              <w:bottom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sz w:val="15"/>
                <w:szCs w:val="15"/>
                <w:highlight w:val="none"/>
                <w:shd w:val="clear" w:color="auto" w:fill="auto"/>
              </w:rPr>
            </w:pPr>
            <w:r>
              <w:rPr>
                <w:rFonts w:hint="eastAsia" w:ascii="Times New Roman" w:hAnsi="Times New Roman" w:eastAsia="黑体" w:cs="黑体"/>
                <w:b/>
                <w:bCs w:val="0"/>
                <w:color w:val="000000"/>
                <w:kern w:val="0"/>
                <w:sz w:val="15"/>
                <w:szCs w:val="15"/>
                <w:highlight w:val="none"/>
                <w:shd w:val="clear" w:color="auto" w:fill="auto"/>
                <w:lang w:bidi="ar"/>
              </w:rPr>
              <w:t>备注</w:t>
            </w:r>
          </w:p>
        </w:tc>
      </w:tr>
      <w:tr>
        <w:tblPrEx>
          <w:tblCellMar>
            <w:top w:w="0" w:type="dxa"/>
            <w:left w:w="108" w:type="dxa"/>
            <w:bottom w:w="0" w:type="dxa"/>
            <w:right w:w="108" w:type="dxa"/>
          </w:tblCellMar>
        </w:tblPrEx>
        <w:trPr>
          <w:trHeight w:val="0" w:hRule="atLeast"/>
          <w:tblHeade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hint="eastAsia" w:ascii="Times New Roman" w:hAnsi="Times New Roman" w:eastAsia="黑体" w:cs="黑体"/>
                <w:b/>
                <w:bCs w:val="0"/>
                <w:color w:val="000000"/>
                <w:sz w:val="15"/>
                <w:szCs w:val="15"/>
                <w:highlight w:val="none"/>
                <w:shd w:val="clear" w:color="auto" w:fill="auto"/>
                <w:lang w:val="en-US" w:eastAsia="zh-CN"/>
              </w:rPr>
            </w:pPr>
            <w:r>
              <w:rPr>
                <w:rFonts w:hint="eastAsia" w:ascii="Times New Roman" w:hAnsi="Times New Roman" w:eastAsia="黑体" w:cs="黑体"/>
                <w:b/>
                <w:bCs w:val="0"/>
                <w:color w:val="000000"/>
                <w:sz w:val="15"/>
                <w:szCs w:val="15"/>
                <w:highlight w:val="none"/>
                <w:shd w:val="clear" w:color="auto" w:fill="auto"/>
                <w:lang w:val="en-US" w:eastAsia="zh-CN"/>
              </w:rPr>
              <w:t>负荷数量</w:t>
            </w:r>
          </w:p>
          <w:p>
            <w:pPr>
              <w:snapToGrid/>
              <w:spacing w:line="240" w:lineRule="auto"/>
              <w:ind w:left="0" w:leftChars="0" w:right="0" w:rightChars="0" w:firstLine="0" w:firstLineChars="0"/>
              <w:jc w:val="center"/>
              <w:rPr>
                <w:rFonts w:hint="eastAsia" w:ascii="Times New Roman" w:hAnsi="Times New Roman" w:eastAsia="黑体" w:cs="黑体"/>
                <w:b/>
                <w:bCs w:val="0"/>
                <w:color w:val="000000"/>
                <w:sz w:val="15"/>
                <w:szCs w:val="15"/>
                <w:highlight w:val="none"/>
                <w:shd w:val="clear" w:color="auto" w:fill="auto"/>
                <w:lang w:val="en-US" w:eastAsia="zh-CN"/>
              </w:rPr>
            </w:pPr>
            <w:r>
              <w:rPr>
                <w:rFonts w:hint="eastAsia" w:ascii="Times New Roman" w:hAnsi="Times New Roman" w:eastAsia="黑体" w:cs="黑体"/>
                <w:b/>
                <w:bCs w:val="0"/>
                <w:color w:val="000000"/>
                <w:sz w:val="15"/>
                <w:szCs w:val="15"/>
                <w:highlight w:val="none"/>
                <w:shd w:val="clear" w:color="auto" w:fill="auto"/>
                <w:lang w:val="en-US" w:eastAsia="zh-CN"/>
              </w:rPr>
              <w:t>（个）</w:t>
            </w:r>
          </w:p>
        </w:tc>
        <w:tc>
          <w:tcPr>
            <w:tcW w:w="0" w:type="auto"/>
            <w:gridSpan w:val="4"/>
            <w:tcBorders>
              <w:top w:val="single" w:color="000000" w:sz="4" w:space="0"/>
              <w:left w:val="single" w:color="000000" w:sz="4" w:space="0"/>
              <w:bottom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负荷类型</w:t>
            </w:r>
          </w:p>
        </w:tc>
        <w:tc>
          <w:tcPr>
            <w:tcW w:w="0" w:type="auto"/>
            <w:vMerge w:val="restart"/>
            <w:tcBorders>
              <w:top w:val="single" w:color="000000" w:sz="4" w:space="0"/>
              <w:left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企业名称</w:t>
            </w:r>
          </w:p>
        </w:tc>
        <w:tc>
          <w:tcPr>
            <w:tcW w:w="0" w:type="auto"/>
            <w:vMerge w:val="restart"/>
            <w:tcBorders>
              <w:top w:val="single" w:color="000000" w:sz="4" w:space="0"/>
              <w:left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kern w:val="0"/>
                <w:sz w:val="15"/>
                <w:szCs w:val="15"/>
                <w:highlight w:val="none"/>
                <w:shd w:val="clear" w:color="auto" w:fill="auto"/>
                <w:lang w:val="en-US" w:eastAsia="zh-CN" w:bidi="ar"/>
              </w:rPr>
            </w:pPr>
            <w:r>
              <w:rPr>
                <w:rFonts w:hint="eastAsia" w:ascii="Times New Roman" w:hAnsi="Times New Roman" w:eastAsia="黑体" w:cs="黑体"/>
                <w:b/>
                <w:bCs w:val="0"/>
                <w:color w:val="000000"/>
                <w:kern w:val="0"/>
                <w:sz w:val="15"/>
                <w:szCs w:val="15"/>
                <w:highlight w:val="none"/>
                <w:shd w:val="clear" w:color="auto" w:fill="auto"/>
                <w:lang w:val="en-US" w:eastAsia="zh-CN" w:bidi="ar"/>
              </w:rPr>
              <w:t>行业类型</w:t>
            </w:r>
          </w:p>
        </w:tc>
        <w:tc>
          <w:tcPr>
            <w:tcW w:w="0" w:type="auto"/>
            <w:vMerge w:val="restart"/>
            <w:tcBorders>
              <w:top w:val="single" w:color="000000" w:sz="4" w:space="0"/>
              <w:left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负荷所在地</w:t>
            </w:r>
          </w:p>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sz w:val="15"/>
                <w:szCs w:val="15"/>
                <w:highlight w:val="none"/>
                <w:shd w:val="clear" w:color="auto" w:fill="auto"/>
              </w:rPr>
            </w:pPr>
            <w:r>
              <w:rPr>
                <w:rFonts w:hint="eastAsia" w:ascii="Times New Roman" w:hAnsi="Times New Roman" w:eastAsia="黑体" w:cs="黑体"/>
                <w:b/>
                <w:bCs w:val="0"/>
                <w:color w:val="000000"/>
                <w:kern w:val="0"/>
                <w:sz w:val="15"/>
                <w:szCs w:val="15"/>
                <w:highlight w:val="none"/>
                <w:shd w:val="clear" w:color="auto" w:fill="auto"/>
                <w:lang w:bidi="ar"/>
              </w:rPr>
              <w:t>（市、区、乡镇）</w:t>
            </w: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年用电量</w:t>
            </w:r>
          </w:p>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sz w:val="15"/>
                <w:szCs w:val="15"/>
                <w:highlight w:val="none"/>
                <w:shd w:val="clear" w:color="auto" w:fill="auto"/>
              </w:rPr>
            </w:pPr>
            <w:r>
              <w:rPr>
                <w:rFonts w:hint="eastAsia" w:ascii="Times New Roman" w:hAnsi="Times New Roman" w:eastAsia="黑体" w:cs="黑体"/>
                <w:b/>
                <w:bCs w:val="0"/>
                <w:color w:val="000000"/>
                <w:kern w:val="0"/>
                <w:sz w:val="15"/>
                <w:szCs w:val="15"/>
                <w:highlight w:val="none"/>
                <w:shd w:val="clear" w:color="auto" w:fill="auto"/>
                <w:lang w:bidi="ar"/>
              </w:rPr>
              <w:t>（亿kWh）</w:t>
            </w:r>
          </w:p>
        </w:tc>
        <w:tc>
          <w:tcPr>
            <w:tcW w:w="0" w:type="auto"/>
            <w:vMerge w:val="restart"/>
            <w:tcBorders>
              <w:top w:val="single" w:color="000000" w:sz="4" w:space="0"/>
              <w:left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接入电网电压等级</w:t>
            </w:r>
          </w:p>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（kV）</w:t>
            </w:r>
          </w:p>
        </w:tc>
        <w:tc>
          <w:tcPr>
            <w:tcW w:w="0" w:type="auto"/>
            <w:vMerge w:val="restart"/>
            <w:tcBorders>
              <w:top w:val="single" w:color="000000" w:sz="4" w:space="0"/>
              <w:left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接入电网变压器容量</w:t>
            </w:r>
          </w:p>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（MVA）</w:t>
            </w: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sz w:val="15"/>
                <w:szCs w:val="15"/>
                <w:highlight w:val="none"/>
                <w:shd w:val="clear" w:color="auto" w:fill="auto"/>
                <w:lang w:val="en-US" w:eastAsia="zh-CN"/>
              </w:rPr>
            </w:pPr>
            <w:r>
              <w:rPr>
                <w:rFonts w:hint="eastAsia" w:ascii="Times New Roman" w:hAnsi="Times New Roman" w:eastAsia="黑体" w:cs="黑体"/>
                <w:b/>
                <w:bCs w:val="0"/>
                <w:color w:val="000000"/>
                <w:sz w:val="15"/>
                <w:szCs w:val="15"/>
                <w:highlight w:val="none"/>
                <w:shd w:val="clear" w:color="auto" w:fill="auto"/>
                <w:lang w:val="en-US" w:eastAsia="zh-CN"/>
              </w:rPr>
              <w:t>电源数量</w:t>
            </w:r>
          </w:p>
          <w:p>
            <w:pPr>
              <w:widowControl w:val="0"/>
              <w:snapToGrid/>
              <w:spacing w:line="240" w:lineRule="auto"/>
              <w:ind w:left="0" w:leftChars="0" w:right="0" w:rightChars="0" w:firstLine="0" w:firstLineChars="0"/>
              <w:jc w:val="center"/>
              <w:textAlignment w:val="center"/>
              <w:rPr>
                <w:rFonts w:hint="default" w:ascii="Times New Roman" w:hAnsi="Times New Roman" w:eastAsia="黑体" w:cs="黑体"/>
                <w:b/>
                <w:bCs w:val="0"/>
                <w:color w:val="000000"/>
                <w:sz w:val="15"/>
                <w:szCs w:val="15"/>
                <w:highlight w:val="none"/>
                <w:shd w:val="clear" w:color="auto" w:fill="auto"/>
                <w:lang w:val="en-US" w:eastAsia="zh-CN"/>
              </w:rPr>
            </w:pPr>
            <w:r>
              <w:rPr>
                <w:rFonts w:hint="eastAsia" w:ascii="Times New Roman" w:hAnsi="Times New Roman" w:eastAsia="黑体" w:cs="黑体"/>
                <w:b/>
                <w:bCs w:val="0"/>
                <w:color w:val="000000"/>
                <w:sz w:val="15"/>
                <w:szCs w:val="15"/>
                <w:highlight w:val="none"/>
                <w:shd w:val="clear" w:color="auto" w:fill="auto"/>
                <w:lang w:val="en-US" w:eastAsia="zh-CN"/>
              </w:rPr>
              <w:t>（个）</w:t>
            </w:r>
          </w:p>
        </w:tc>
        <w:tc>
          <w:tcPr>
            <w:tcW w:w="0" w:type="auto"/>
            <w:vMerge w:val="restart"/>
            <w:tcBorders>
              <w:top w:val="single" w:color="000000" w:sz="4" w:space="0"/>
              <w:left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电源类型</w:t>
            </w: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电源规模</w:t>
            </w:r>
          </w:p>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kern w:val="0"/>
                <w:sz w:val="15"/>
                <w:szCs w:val="15"/>
                <w:highlight w:val="none"/>
                <w:shd w:val="clear" w:color="auto" w:fill="auto"/>
                <w:lang w:eastAsia="zh-CN" w:bidi="ar"/>
              </w:rPr>
            </w:pPr>
            <w:r>
              <w:rPr>
                <w:rFonts w:hint="eastAsia" w:ascii="Times New Roman" w:hAnsi="Times New Roman" w:eastAsia="黑体" w:cs="黑体"/>
                <w:b/>
                <w:bCs w:val="0"/>
                <w:color w:val="000000"/>
                <w:kern w:val="0"/>
                <w:sz w:val="15"/>
                <w:szCs w:val="15"/>
                <w:highlight w:val="none"/>
                <w:shd w:val="clear" w:color="auto" w:fill="auto"/>
                <w:lang w:eastAsia="zh-CN" w:bidi="ar"/>
              </w:rPr>
              <w:t>（</w:t>
            </w:r>
            <w:r>
              <w:rPr>
                <w:rFonts w:hint="eastAsia" w:ascii="Times New Roman" w:hAnsi="Times New Roman" w:eastAsia="黑体" w:cs="黑体"/>
                <w:b/>
                <w:bCs w:val="0"/>
                <w:color w:val="000000"/>
                <w:kern w:val="0"/>
                <w:sz w:val="15"/>
                <w:szCs w:val="15"/>
                <w:highlight w:val="none"/>
                <w:shd w:val="clear" w:color="auto" w:fill="auto"/>
                <w:lang w:val="en-US" w:eastAsia="zh-CN" w:bidi="ar"/>
              </w:rPr>
              <w:t>MW</w:t>
            </w:r>
            <w:r>
              <w:rPr>
                <w:rFonts w:hint="eastAsia" w:ascii="Times New Roman" w:hAnsi="Times New Roman" w:eastAsia="黑体" w:cs="黑体"/>
                <w:b/>
                <w:bCs w:val="0"/>
                <w:color w:val="000000"/>
                <w:kern w:val="0"/>
                <w:sz w:val="15"/>
                <w:szCs w:val="15"/>
                <w:highlight w:val="none"/>
                <w:shd w:val="clear" w:color="auto" w:fill="auto"/>
                <w:lang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项目所在地</w:t>
            </w:r>
          </w:p>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sz w:val="15"/>
                <w:szCs w:val="15"/>
                <w:highlight w:val="none"/>
                <w:shd w:val="clear" w:color="auto" w:fill="auto"/>
              </w:rPr>
            </w:pPr>
            <w:r>
              <w:rPr>
                <w:rFonts w:hint="eastAsia" w:ascii="Times New Roman" w:hAnsi="Times New Roman" w:eastAsia="黑体" w:cs="黑体"/>
                <w:b/>
                <w:bCs w:val="0"/>
                <w:color w:val="000000"/>
                <w:kern w:val="0"/>
                <w:sz w:val="15"/>
                <w:szCs w:val="15"/>
                <w:highlight w:val="none"/>
                <w:shd w:val="clear" w:color="auto" w:fill="auto"/>
                <w:lang w:bidi="ar"/>
              </w:rPr>
              <w:t>（市、区、乡镇）</w:t>
            </w:r>
          </w:p>
        </w:tc>
        <w:tc>
          <w:tcPr>
            <w:tcW w:w="90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sz w:val="15"/>
                <w:szCs w:val="15"/>
                <w:highlight w:val="none"/>
                <w:shd w:val="clear" w:color="auto" w:fill="auto"/>
              </w:rPr>
            </w:pPr>
            <w:r>
              <w:rPr>
                <w:rFonts w:hint="eastAsia" w:ascii="Times New Roman" w:hAnsi="Times New Roman" w:eastAsia="黑体" w:cs="黑体"/>
                <w:b/>
                <w:bCs w:val="0"/>
                <w:color w:val="000000"/>
                <w:kern w:val="0"/>
                <w:sz w:val="15"/>
                <w:szCs w:val="15"/>
                <w:highlight w:val="none"/>
                <w:shd w:val="clear" w:color="auto" w:fill="auto"/>
                <w:lang w:bidi="ar"/>
              </w:rPr>
              <w:t>投资主体</w:t>
            </w:r>
          </w:p>
        </w:tc>
        <w:tc>
          <w:tcPr>
            <w:tcW w:w="684" w:type="dxa"/>
            <w:vMerge w:val="restart"/>
            <w:tcBorders>
              <w:top w:val="single" w:color="000000" w:sz="4" w:space="0"/>
              <w:left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年总可发电量</w:t>
            </w:r>
          </w:p>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（亿kWh）</w:t>
            </w:r>
          </w:p>
        </w:tc>
        <w:tc>
          <w:tcPr>
            <w:tcW w:w="0" w:type="auto"/>
            <w:vMerge w:val="restart"/>
            <w:tcBorders>
              <w:top w:val="single" w:color="000000" w:sz="4" w:space="0"/>
              <w:left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kern w:val="0"/>
                <w:sz w:val="15"/>
                <w:szCs w:val="15"/>
                <w:highlight w:val="none"/>
                <w:shd w:val="clear" w:color="auto" w:fill="auto"/>
                <w:lang w:val="en-US" w:eastAsia="zh-CN" w:bidi="ar"/>
              </w:rPr>
            </w:pPr>
            <w:r>
              <w:rPr>
                <w:rFonts w:hint="eastAsia" w:ascii="Times New Roman" w:hAnsi="Times New Roman" w:eastAsia="黑体" w:cs="黑体"/>
                <w:b/>
                <w:bCs w:val="0"/>
                <w:color w:val="000000"/>
                <w:kern w:val="0"/>
                <w:sz w:val="15"/>
                <w:szCs w:val="15"/>
                <w:highlight w:val="none"/>
                <w:shd w:val="clear" w:color="auto" w:fill="auto"/>
                <w:lang w:val="en-US" w:eastAsia="zh-CN" w:bidi="ar"/>
              </w:rPr>
              <w:t>预计投产时间</w:t>
            </w:r>
          </w:p>
        </w:tc>
        <w:tc>
          <w:tcPr>
            <w:tcW w:w="0" w:type="auto"/>
            <w:vMerge w:val="restart"/>
            <w:tcBorders>
              <w:top w:val="single" w:color="000000" w:sz="4" w:space="0"/>
              <w:left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直连距离</w:t>
            </w:r>
          </w:p>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（km）</w:t>
            </w:r>
          </w:p>
        </w:tc>
        <w:tc>
          <w:tcPr>
            <w:tcW w:w="0" w:type="auto"/>
            <w:vMerge w:val="restart"/>
            <w:tcBorders>
              <w:top w:val="single" w:color="000000" w:sz="4" w:space="0"/>
              <w:left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直连电压等级</w:t>
            </w:r>
          </w:p>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（kV）</w:t>
            </w:r>
          </w:p>
        </w:tc>
        <w:tc>
          <w:tcPr>
            <w:tcW w:w="0" w:type="auto"/>
            <w:vMerge w:val="restart"/>
            <w:tcBorders>
              <w:top w:val="single" w:color="000000" w:sz="4" w:space="0"/>
              <w:left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额定功率</w:t>
            </w:r>
          </w:p>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（MW）</w:t>
            </w:r>
          </w:p>
        </w:tc>
        <w:tc>
          <w:tcPr>
            <w:tcW w:w="893" w:type="dxa"/>
            <w:vMerge w:val="restart"/>
            <w:tcBorders>
              <w:top w:val="single" w:color="000000" w:sz="4" w:space="0"/>
              <w:left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额定容量</w:t>
            </w:r>
          </w:p>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（MWh）</w:t>
            </w:r>
          </w:p>
        </w:tc>
        <w:tc>
          <w:tcPr>
            <w:tcW w:w="67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自发自用电量占总可发电量比例</w:t>
            </w:r>
          </w:p>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sz w:val="15"/>
                <w:szCs w:val="15"/>
                <w:highlight w:val="none"/>
                <w:shd w:val="clear" w:color="auto" w:fill="auto"/>
              </w:rPr>
            </w:pPr>
            <w:r>
              <w:rPr>
                <w:rFonts w:hint="eastAsia" w:ascii="Times New Roman" w:hAnsi="Times New Roman" w:eastAsia="黑体" w:cs="黑体"/>
                <w:b/>
                <w:bCs w:val="0"/>
                <w:color w:val="000000"/>
                <w:kern w:val="0"/>
                <w:sz w:val="15"/>
                <w:szCs w:val="15"/>
                <w:highlight w:val="none"/>
                <w:shd w:val="clear" w:color="auto" w:fill="auto"/>
                <w:lang w:bidi="ar"/>
              </w:rPr>
              <w:t>（%）</w:t>
            </w: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自发自用电量占总用电量比例</w:t>
            </w:r>
          </w:p>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sz w:val="15"/>
                <w:szCs w:val="15"/>
                <w:highlight w:val="none"/>
                <w:shd w:val="clear" w:color="auto" w:fill="auto"/>
              </w:rPr>
            </w:pPr>
            <w:r>
              <w:rPr>
                <w:rFonts w:hint="eastAsia" w:ascii="Times New Roman" w:hAnsi="Times New Roman" w:eastAsia="黑体" w:cs="黑体"/>
                <w:b/>
                <w:bCs w:val="0"/>
                <w:color w:val="000000"/>
                <w:kern w:val="0"/>
                <w:sz w:val="15"/>
                <w:szCs w:val="15"/>
                <w:highlight w:val="none"/>
                <w:shd w:val="clear" w:color="auto" w:fill="auto"/>
                <w:lang w:bidi="ar"/>
              </w:rPr>
              <w:t>（%）</w:t>
            </w:r>
          </w:p>
        </w:tc>
        <w:tc>
          <w:tcPr>
            <w:tcW w:w="0" w:type="auto"/>
            <w:vMerge w:val="restart"/>
            <w:tcBorders>
              <w:top w:val="single" w:color="000000" w:sz="4" w:space="0"/>
              <w:left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上网电量占总可发电量的比例</w:t>
            </w:r>
          </w:p>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w:t>
            </w:r>
          </w:p>
        </w:tc>
        <w:tc>
          <w:tcPr>
            <w:tcW w:w="0" w:type="auto"/>
            <w:vMerge w:val="restart"/>
            <w:tcBorders>
              <w:top w:val="single" w:color="000000" w:sz="4" w:space="0"/>
              <w:left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kern w:val="0"/>
                <w:sz w:val="15"/>
                <w:szCs w:val="15"/>
                <w:highlight w:val="none"/>
                <w:shd w:val="clear" w:color="auto" w:fill="auto"/>
                <w:lang w:val="en-US" w:eastAsia="zh-CN" w:bidi="ar"/>
              </w:rPr>
            </w:pPr>
            <w:r>
              <w:rPr>
                <w:rFonts w:hint="eastAsia" w:ascii="Times New Roman" w:hAnsi="Times New Roman" w:eastAsia="黑体" w:cs="黑体"/>
                <w:b/>
                <w:bCs w:val="0"/>
                <w:color w:val="000000"/>
                <w:kern w:val="0"/>
                <w:sz w:val="15"/>
                <w:szCs w:val="15"/>
                <w:highlight w:val="none"/>
                <w:shd w:val="clear" w:color="auto" w:fill="auto"/>
                <w:lang w:val="en-US" w:eastAsia="zh-CN" w:bidi="ar"/>
              </w:rPr>
              <w:t>最大负荷峰谷差率</w:t>
            </w:r>
          </w:p>
          <w:p>
            <w:pPr>
              <w:widowControl w:val="0"/>
              <w:snapToGrid/>
              <w:spacing w:line="240" w:lineRule="auto"/>
              <w:ind w:left="0" w:leftChars="0" w:right="0" w:rightChars="0" w:firstLine="0" w:firstLineChars="0"/>
              <w:jc w:val="center"/>
              <w:textAlignment w:val="center"/>
              <w:rPr>
                <w:rFonts w:hint="default" w:ascii="Times New Roman" w:hAnsi="Times New Roman" w:eastAsia="黑体" w:cs="黑体"/>
                <w:b/>
                <w:bCs w:val="0"/>
                <w:color w:val="000000"/>
                <w:kern w:val="0"/>
                <w:sz w:val="15"/>
                <w:szCs w:val="15"/>
                <w:highlight w:val="none"/>
                <w:shd w:val="clear" w:color="auto" w:fill="auto"/>
                <w:lang w:val="en-US" w:eastAsia="zh-CN" w:bidi="ar"/>
              </w:rPr>
            </w:pPr>
            <w:r>
              <w:rPr>
                <w:rFonts w:hint="eastAsia" w:ascii="Times New Roman" w:hAnsi="Times New Roman" w:eastAsia="黑体" w:cs="黑体"/>
                <w:b/>
                <w:bCs w:val="0"/>
                <w:color w:val="000000"/>
                <w:kern w:val="0"/>
                <w:sz w:val="15"/>
                <w:szCs w:val="15"/>
                <w:highlight w:val="none"/>
                <w:shd w:val="clear" w:color="auto" w:fill="auto"/>
                <w:lang w:val="en-US" w:eastAsia="zh-CN" w:bidi="ar"/>
              </w:rPr>
              <w:t>（%）</w:t>
            </w:r>
          </w:p>
        </w:tc>
        <w:tc>
          <w:tcPr>
            <w:tcW w:w="367" w:type="dxa"/>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r>
      <w:tr>
        <w:tblPrEx>
          <w:tblCellMar>
            <w:top w:w="0" w:type="dxa"/>
            <w:left w:w="108" w:type="dxa"/>
            <w:bottom w:w="0" w:type="dxa"/>
            <w:right w:w="108" w:type="dxa"/>
          </w:tblCellMar>
        </w:tblPrEx>
        <w:trPr>
          <w:trHeight w:val="0" w:hRule="atLeast"/>
          <w:tblHeade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sz w:val="15"/>
                <w:szCs w:val="15"/>
                <w:highlight w:val="none"/>
                <w:shd w:val="clear" w:color="auto" w:fill="auto"/>
              </w:rPr>
            </w:pPr>
            <w:r>
              <w:rPr>
                <w:rFonts w:hint="eastAsia" w:ascii="Times New Roman" w:hAnsi="Times New Roman" w:eastAsia="黑体" w:cs="黑体"/>
                <w:b/>
                <w:bCs w:val="0"/>
                <w:color w:val="000000"/>
                <w:kern w:val="0"/>
                <w:sz w:val="15"/>
                <w:szCs w:val="15"/>
                <w:highlight w:val="none"/>
                <w:shd w:val="clear" w:color="auto" w:fill="auto"/>
                <w:lang w:bidi="ar"/>
              </w:rPr>
              <w:t>增量</w:t>
            </w:r>
          </w:p>
        </w:tc>
        <w:tc>
          <w:tcPr>
            <w:tcW w:w="0" w:type="auto"/>
            <w:gridSpan w:val="3"/>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r>
              <w:rPr>
                <w:rFonts w:hint="eastAsia" w:ascii="Times New Roman" w:hAnsi="Times New Roman" w:eastAsia="黑体" w:cs="黑体"/>
                <w:b/>
                <w:bCs w:val="0"/>
                <w:color w:val="000000"/>
                <w:kern w:val="0"/>
                <w:sz w:val="15"/>
                <w:szCs w:val="15"/>
                <w:highlight w:val="none"/>
                <w:shd w:val="clear" w:color="auto" w:fill="auto"/>
                <w:lang w:bidi="ar"/>
              </w:rPr>
              <w:t>存量</w:t>
            </w: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sz w:val="15"/>
                <w:szCs w:val="15"/>
                <w:highlight w:val="none"/>
                <w:shd w:val="clear" w:color="auto" w:fill="auto"/>
              </w:rPr>
            </w:pPr>
            <w:r>
              <w:rPr>
                <w:rFonts w:hint="eastAsia" w:ascii="Times New Roman" w:hAnsi="Times New Roman" w:eastAsia="黑体" w:cs="黑体"/>
                <w:b/>
                <w:bCs w:val="0"/>
                <w:color w:val="000000"/>
                <w:kern w:val="0"/>
                <w:sz w:val="15"/>
                <w:szCs w:val="15"/>
                <w:highlight w:val="none"/>
                <w:shd w:val="clear" w:color="auto" w:fill="auto"/>
                <w:lang w:bidi="ar"/>
              </w:rPr>
              <w:t>企业名称</w:t>
            </w:r>
          </w:p>
        </w:tc>
        <w:tc>
          <w:tcPr>
            <w:tcW w:w="53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val="0"/>
              <w:adjustRightInd/>
              <w:snapToGrid/>
              <w:spacing w:line="240" w:lineRule="auto"/>
              <w:ind w:left="0" w:leftChars="0" w:right="0" w:rightChars="0" w:firstLine="0" w:firstLineChars="0"/>
              <w:jc w:val="center"/>
              <w:textAlignment w:val="center"/>
              <w:rPr>
                <w:rFonts w:hint="eastAsia" w:ascii="Times New Roman" w:hAnsi="Times New Roman" w:eastAsia="黑体" w:cs="黑体"/>
                <w:b/>
                <w:bCs w:val="0"/>
                <w:color w:val="000000"/>
                <w:kern w:val="0"/>
                <w:sz w:val="15"/>
                <w:szCs w:val="15"/>
                <w:highlight w:val="none"/>
                <w:shd w:val="clear" w:color="auto" w:fill="auto"/>
                <w:lang w:bidi="ar"/>
              </w:rPr>
            </w:pPr>
            <w:r>
              <w:rPr>
                <w:rFonts w:hint="eastAsia" w:ascii="Times New Roman" w:hAnsi="Times New Roman" w:eastAsia="黑体" w:cs="黑体"/>
                <w:b/>
                <w:bCs w:val="0"/>
                <w:color w:val="000000"/>
                <w:kern w:val="0"/>
                <w:sz w:val="15"/>
                <w:szCs w:val="15"/>
                <w:highlight w:val="none"/>
                <w:shd w:val="clear" w:color="auto" w:fill="auto"/>
                <w:lang w:bidi="ar"/>
              </w:rPr>
              <w:t>类型</w:t>
            </w:r>
          </w:p>
          <w:p>
            <w:pPr>
              <w:widowControl w:val="0"/>
              <w:adjustRightInd/>
              <w:snapToGrid/>
              <w:spacing w:line="240" w:lineRule="auto"/>
              <w:ind w:left="0" w:leftChars="0" w:right="0" w:rightChars="0" w:firstLine="0" w:firstLineChars="0"/>
              <w:jc w:val="center"/>
              <w:textAlignment w:val="center"/>
              <w:rPr>
                <w:rFonts w:ascii="Times New Roman" w:hAnsi="Times New Roman" w:eastAsia="黑体" w:cs="黑体"/>
                <w:b/>
                <w:bCs w:val="0"/>
                <w:color w:val="000000"/>
                <w:sz w:val="15"/>
                <w:szCs w:val="15"/>
                <w:highlight w:val="none"/>
                <w:shd w:val="clear" w:color="auto" w:fill="auto"/>
              </w:rPr>
            </w:pPr>
            <w:r>
              <w:rPr>
                <w:rFonts w:hint="eastAsia" w:ascii="Times New Roman" w:hAnsi="Times New Roman" w:eastAsia="黑体" w:cs="黑体"/>
                <w:b/>
                <w:bCs w:val="0"/>
                <w:color w:val="000000"/>
                <w:kern w:val="0"/>
                <w:sz w:val="15"/>
                <w:szCs w:val="15"/>
                <w:highlight w:val="none"/>
                <w:shd w:val="clear" w:color="auto" w:fill="auto"/>
                <w:lang w:bidi="ar"/>
              </w:rPr>
              <w:t>（负荷电源合资/负荷独资/电源独资）</w:t>
            </w:r>
          </w:p>
        </w:tc>
        <w:tc>
          <w:tcPr>
            <w:tcW w:w="684" w:type="dxa"/>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893" w:type="dxa"/>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674"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367"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r>
      <w:tr>
        <w:tblPrEx>
          <w:tblCellMar>
            <w:top w:w="0" w:type="dxa"/>
            <w:left w:w="108" w:type="dxa"/>
            <w:bottom w:w="0" w:type="dxa"/>
            <w:right w:w="108" w:type="dxa"/>
          </w:tblCellMar>
        </w:tblPrEx>
        <w:trPr>
          <w:trHeight w:val="0" w:hRule="atLeast"/>
          <w:tblHeade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sz w:val="15"/>
                <w:szCs w:val="15"/>
                <w:highlight w:val="none"/>
                <w:shd w:val="clear" w:color="auto" w:fill="auto"/>
              </w:rPr>
            </w:pPr>
            <w:r>
              <w:rPr>
                <w:rFonts w:hint="eastAsia" w:ascii="Times New Roman" w:hAnsi="Times New Roman" w:eastAsia="黑体" w:cs="黑体"/>
                <w:b/>
                <w:bCs w:val="0"/>
                <w:color w:val="000000"/>
                <w:kern w:val="0"/>
                <w:sz w:val="15"/>
                <w:szCs w:val="15"/>
                <w:highlight w:val="none"/>
                <w:shd w:val="clear" w:color="auto" w:fill="auto"/>
                <w:lang w:bidi="ar"/>
              </w:rPr>
              <w:t>是/否</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sz w:val="15"/>
                <w:szCs w:val="15"/>
                <w:highlight w:val="none"/>
                <w:shd w:val="clear" w:color="auto" w:fill="auto"/>
              </w:rPr>
            </w:pPr>
            <w:r>
              <w:rPr>
                <w:rFonts w:hint="eastAsia" w:ascii="Times New Roman" w:hAnsi="Times New Roman" w:eastAsia="黑体" w:cs="黑体"/>
                <w:b/>
                <w:bCs w:val="0"/>
                <w:color w:val="000000"/>
                <w:kern w:val="0"/>
                <w:sz w:val="15"/>
                <w:szCs w:val="15"/>
                <w:highlight w:val="none"/>
                <w:shd w:val="clear" w:color="auto" w:fill="auto"/>
                <w:lang w:bidi="ar"/>
              </w:rPr>
              <w:t>压减自备电厂出力</w:t>
            </w:r>
          </w:p>
        </w:tc>
        <w:tc>
          <w:tcPr>
            <w:tcW w:w="0" w:type="auto"/>
            <w:tcBorders>
              <w:top w:val="single" w:color="000000" w:sz="4" w:space="0"/>
              <w:left w:val="single" w:color="000000" w:sz="4" w:space="0"/>
              <w:bottom w:val="single" w:color="auto" w:sz="4" w:space="0"/>
              <w:right w:val="single" w:color="000000" w:sz="4" w:space="0"/>
            </w:tcBorders>
            <w:noWrap w:val="0"/>
            <w:vAlign w:val="center"/>
          </w:tcPr>
          <w:p>
            <w:pPr>
              <w:widowControl w:val="0"/>
              <w:snapToGrid/>
              <w:spacing w:line="240" w:lineRule="auto"/>
              <w:ind w:left="0" w:leftChars="0" w:right="0" w:rightChars="0" w:firstLine="0" w:firstLineChars="0"/>
              <w:jc w:val="center"/>
              <w:textAlignment w:val="center"/>
              <w:rPr>
                <w:rFonts w:ascii="Times New Roman" w:hAnsi="Times New Roman" w:eastAsia="黑体" w:cs="黑体"/>
                <w:b/>
                <w:bCs w:val="0"/>
                <w:color w:val="000000"/>
                <w:sz w:val="15"/>
                <w:szCs w:val="15"/>
                <w:highlight w:val="none"/>
                <w:shd w:val="clear" w:color="auto" w:fill="auto"/>
              </w:rPr>
            </w:pPr>
            <w:r>
              <w:rPr>
                <w:rFonts w:hint="eastAsia" w:ascii="Times New Roman" w:hAnsi="Times New Roman" w:eastAsia="黑体" w:cs="黑体"/>
                <w:b/>
                <w:bCs w:val="0"/>
                <w:color w:val="000000"/>
                <w:kern w:val="0"/>
                <w:sz w:val="15"/>
                <w:szCs w:val="15"/>
                <w:highlight w:val="none"/>
                <w:shd w:val="clear" w:color="auto" w:fill="auto"/>
                <w:lang w:bidi="ar"/>
              </w:rPr>
              <w:t>出口外向型</w:t>
            </w:r>
          </w:p>
        </w:tc>
        <w:tc>
          <w:tcPr>
            <w:tcW w:w="0" w:type="auto"/>
            <w:tcBorders>
              <w:top w:val="single" w:color="000000"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r>
              <w:rPr>
                <w:rFonts w:hint="eastAsia" w:ascii="Times New Roman" w:hAnsi="Times New Roman" w:eastAsia="黑体" w:cs="黑体"/>
                <w:b/>
                <w:bCs w:val="0"/>
                <w:color w:val="000000"/>
                <w:sz w:val="15"/>
                <w:szCs w:val="15"/>
                <w:highlight w:val="none"/>
                <w:shd w:val="clear" w:color="auto" w:fill="auto"/>
              </w:rPr>
              <w:t>其他</w:t>
            </w:r>
          </w:p>
        </w:tc>
        <w:tc>
          <w:tcPr>
            <w:tcW w:w="0" w:type="auto"/>
            <w:vMerge w:val="continue"/>
            <w:tcBorders>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539"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684" w:type="dxa"/>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893" w:type="dxa"/>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674"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c>
          <w:tcPr>
            <w:tcW w:w="367"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b/>
                <w:bCs w:val="0"/>
                <w:color w:val="000000"/>
                <w:sz w:val="15"/>
                <w:szCs w:val="15"/>
                <w:highlight w:val="none"/>
                <w:shd w:val="clear" w:color="auto" w:fill="auto"/>
              </w:rPr>
            </w:pPr>
          </w:p>
        </w:tc>
      </w:tr>
      <w:tr>
        <w:tblPrEx>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hint="eastAsia" w:ascii="Times New Roman" w:hAnsi="Times New Roman" w:eastAsia="黑体" w:cs="黑体"/>
                <w:color w:val="000000"/>
                <w:sz w:val="15"/>
                <w:szCs w:val="15"/>
                <w:highlight w:val="none"/>
                <w:shd w:val="clear" w:color="auto" w:fill="auto"/>
                <w:lang w:val="en-US" w:eastAsia="zh-CN"/>
              </w:rPr>
            </w:pPr>
            <w:r>
              <w:rPr>
                <w:rFonts w:hint="eastAsia" w:ascii="Times New Roman" w:hAnsi="Times New Roman" w:eastAsia="黑体" w:cs="黑体"/>
                <w:color w:val="000000"/>
                <w:sz w:val="15"/>
                <w:szCs w:val="15"/>
                <w:highlight w:val="none"/>
                <w:shd w:val="clear" w:color="auto" w:fill="auto"/>
                <w:lang w:val="en-US" w:eastAsia="zh-CN"/>
              </w:rPr>
              <w:t>1</w:t>
            </w: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auto"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auto" w:sz="4" w:space="0"/>
              <w:bottom w:val="single" w:color="auto" w:sz="4" w:space="0"/>
              <w:right w:val="single" w:color="auto"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auto" w:sz="4" w:space="0"/>
              <w:bottom w:val="single" w:color="auto" w:sz="4" w:space="0"/>
              <w:right w:val="single" w:color="auto"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auto" w:sz="4" w:space="0"/>
              <w:bottom w:val="single" w:color="auto" w:sz="4" w:space="0"/>
              <w:right w:val="single" w:color="auto"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auto" w:sz="4" w:space="0"/>
              <w:bottom w:val="single" w:color="auto" w:sz="4" w:space="0"/>
              <w:right w:val="single" w:color="auto"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auto" w:sz="4" w:space="0"/>
              <w:bottom w:val="single" w:color="auto" w:sz="4" w:space="0"/>
              <w:right w:val="single" w:color="auto"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auto" w:sz="4" w:space="0"/>
              <w:bottom w:val="single" w:color="auto" w:sz="4" w:space="0"/>
              <w:right w:val="single" w:color="auto"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auto" w:sz="4" w:space="0"/>
              <w:bottom w:val="single" w:color="auto" w:sz="4" w:space="0"/>
              <w:right w:val="single" w:color="auto"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auto" w:sz="4" w:space="0"/>
              <w:bottom w:val="single" w:color="auto" w:sz="4" w:space="0"/>
              <w:right w:val="single" w:color="auto"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539" w:type="dxa"/>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893" w:type="dxa"/>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674" w:type="dxa"/>
            <w:vMerge w:val="restart"/>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367" w:type="dxa"/>
            <w:vMerge w:val="restart"/>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r>
      <w:tr>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auto"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auto" w:sz="4" w:space="0"/>
              <w:bottom w:val="single" w:color="auto" w:sz="4" w:space="0"/>
              <w:right w:val="single" w:color="auto"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auto" w:sz="4" w:space="0"/>
              <w:bottom w:val="single" w:color="auto" w:sz="4" w:space="0"/>
              <w:right w:val="single" w:color="auto"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auto" w:sz="4" w:space="0"/>
              <w:bottom w:val="single" w:color="auto" w:sz="4" w:space="0"/>
              <w:right w:val="single" w:color="auto"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auto" w:sz="4" w:space="0"/>
              <w:bottom w:val="single" w:color="auto" w:sz="4" w:space="0"/>
              <w:right w:val="single" w:color="auto"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auto" w:sz="4" w:space="0"/>
              <w:bottom w:val="single" w:color="auto" w:sz="4" w:space="0"/>
              <w:right w:val="single" w:color="auto"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auto" w:sz="4" w:space="0"/>
              <w:bottom w:val="single" w:color="auto" w:sz="4" w:space="0"/>
              <w:right w:val="single" w:color="auto"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auto" w:sz="4" w:space="0"/>
              <w:bottom w:val="single" w:color="auto" w:sz="4" w:space="0"/>
              <w:right w:val="single" w:color="auto"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auto" w:sz="4" w:space="0"/>
              <w:bottom w:val="single" w:color="auto" w:sz="4" w:space="0"/>
              <w:right w:val="single" w:color="auto"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539" w:type="dxa"/>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893" w:type="dxa"/>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674"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367"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r>
      <w:tr>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auto"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auto" w:sz="4" w:space="0"/>
              <w:bottom w:val="single" w:color="auto" w:sz="4" w:space="0"/>
              <w:right w:val="single" w:color="auto"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auto" w:sz="4" w:space="0"/>
              <w:bottom w:val="single" w:color="auto" w:sz="4" w:space="0"/>
              <w:right w:val="single" w:color="auto"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auto" w:sz="4" w:space="0"/>
              <w:bottom w:val="single" w:color="auto" w:sz="4" w:space="0"/>
              <w:right w:val="single" w:color="auto"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auto" w:sz="4" w:space="0"/>
              <w:bottom w:val="single" w:color="auto" w:sz="4" w:space="0"/>
              <w:right w:val="single" w:color="auto"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auto" w:sz="4" w:space="0"/>
              <w:bottom w:val="single" w:color="auto" w:sz="4" w:space="0"/>
              <w:right w:val="single" w:color="auto"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auto" w:sz="4" w:space="0"/>
              <w:bottom w:val="single" w:color="auto" w:sz="4" w:space="0"/>
              <w:right w:val="single" w:color="auto"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auto" w:sz="4" w:space="0"/>
              <w:bottom w:val="single" w:color="auto" w:sz="4" w:space="0"/>
              <w:right w:val="single" w:color="auto"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auto" w:sz="4" w:space="0"/>
              <w:bottom w:val="single" w:color="auto" w:sz="4" w:space="0"/>
              <w:right w:val="single" w:color="auto"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auto"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539" w:type="dxa"/>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893" w:type="dxa"/>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674"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367"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r>
      <w:tr>
        <w:tblPrEx>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hint="eastAsia" w:ascii="Times New Roman" w:hAnsi="Times New Roman" w:eastAsia="黑体" w:cs="黑体"/>
                <w:color w:val="000000"/>
                <w:sz w:val="15"/>
                <w:szCs w:val="15"/>
                <w:highlight w:val="none"/>
                <w:shd w:val="clear" w:color="auto" w:fill="auto"/>
                <w:lang w:val="en-US" w:eastAsia="zh-CN"/>
              </w:rPr>
            </w:pPr>
            <w:r>
              <w:rPr>
                <w:rFonts w:hint="eastAsia" w:ascii="Times New Roman" w:hAnsi="Times New Roman" w:eastAsia="黑体" w:cs="黑体"/>
                <w:color w:val="000000"/>
                <w:sz w:val="15"/>
                <w:szCs w:val="15"/>
                <w:highlight w:val="none"/>
                <w:shd w:val="clear" w:color="auto" w:fill="auto"/>
                <w:lang w:val="en-US" w:eastAsia="zh-CN"/>
              </w:rPr>
              <w:t>2</w:t>
            </w: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539" w:type="dxa"/>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893" w:type="dxa"/>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674" w:type="dxa"/>
            <w:vMerge w:val="restart"/>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367" w:type="dxa"/>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r>
      <w:tr>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539" w:type="dxa"/>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893" w:type="dxa"/>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674"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367" w:type="dxa"/>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r>
      <w:tr>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539" w:type="dxa"/>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893" w:type="dxa"/>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674"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right"/>
              <w:rPr>
                <w:rFonts w:ascii="Times New Roman" w:hAnsi="Times New Roman" w:eastAsia="黑体" w:cs="黑体"/>
                <w:color w:val="000000"/>
                <w:sz w:val="15"/>
                <w:szCs w:val="15"/>
                <w:highlight w:val="none"/>
                <w:shd w:val="clear" w:color="auto" w:fill="auto"/>
              </w:rPr>
            </w:pPr>
          </w:p>
        </w:tc>
        <w:tc>
          <w:tcPr>
            <w:tcW w:w="367" w:type="dxa"/>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r>
      <w:tr>
        <w:tblPrEx>
          <w:tblCellMar>
            <w:top w:w="0" w:type="dxa"/>
            <w:left w:w="108" w:type="dxa"/>
            <w:bottom w:w="0" w:type="dxa"/>
            <w:right w:w="108" w:type="dxa"/>
          </w:tblCellMar>
        </w:tblPrEx>
        <w:trPr>
          <w:trHeight w:val="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hint="default" w:ascii="Times New Roman" w:hAnsi="Times New Roman" w:eastAsia="黑体" w:cs="黑体"/>
                <w:color w:val="000000"/>
                <w:sz w:val="15"/>
                <w:szCs w:val="15"/>
                <w:highlight w:val="none"/>
                <w:shd w:val="clear" w:color="auto" w:fill="auto"/>
                <w:lang w:val="en-US" w:eastAsia="zh-CN"/>
              </w:rPr>
            </w:pPr>
            <w:r>
              <w:rPr>
                <w:rFonts w:hint="eastAsia" w:ascii="Times New Roman" w:hAnsi="Times New Roman" w:eastAsia="黑体" w:cs="黑体"/>
                <w:color w:val="000000"/>
                <w:sz w:val="15"/>
                <w:szCs w:val="15"/>
                <w:highlight w:val="none"/>
                <w:shd w:val="clear" w:color="auto" w:fill="auto"/>
                <w:lang w:val="en-US" w:eastAsia="zh-CN"/>
              </w:rPr>
              <w:t>...</w:t>
            </w: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539" w:type="dxa"/>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893" w:type="dxa"/>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674" w:type="dxa"/>
            <w:vMerge w:val="restart"/>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367" w:type="dxa"/>
            <w:vMerge w:val="restart"/>
            <w:tcBorders>
              <w:top w:val="single" w:color="000000" w:sz="4" w:space="0"/>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r>
      <w:tr>
        <w:tblPrEx>
          <w:tblCellMar>
            <w:top w:w="0" w:type="dxa"/>
            <w:left w:w="108" w:type="dxa"/>
            <w:bottom w:w="0" w:type="dxa"/>
            <w:right w:w="108" w:type="dxa"/>
          </w:tblCellMar>
        </w:tblPrEx>
        <w:trPr>
          <w:trHeight w:val="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539" w:type="dxa"/>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893" w:type="dxa"/>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674"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0" w:type="auto"/>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367" w:type="dxa"/>
            <w:vMerge w:val="continue"/>
            <w:tcBorders>
              <w:left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r>
      <w:tr>
        <w:tblPrEx>
          <w:tblCellMar>
            <w:top w:w="0" w:type="dxa"/>
            <w:left w:w="108" w:type="dxa"/>
            <w:bottom w:w="0" w:type="dxa"/>
            <w:right w:w="108" w:type="dxa"/>
          </w:tblCellMar>
        </w:tblPrEx>
        <w:trPr>
          <w:trHeight w:val="0" w:hRule="atLeast"/>
          <w:jc w:val="center"/>
        </w:trPr>
        <w:tc>
          <w:tcPr>
            <w:tcW w:w="367"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369"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521"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369" w:type="dxa"/>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372" w:type="dxa"/>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520" w:type="dxa"/>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522" w:type="dxa"/>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372" w:type="dxa"/>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669" w:type="dxa"/>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367" w:type="dxa"/>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373" w:type="dxa"/>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367" w:type="dxa"/>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367" w:type="dxa"/>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367" w:type="dxa"/>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367" w:type="dxa"/>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678" w:type="dxa"/>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684" w:type="dxa"/>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710" w:type="dxa"/>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894" w:type="dxa"/>
            <w:tcBorders>
              <w:top w:val="single" w:color="auto" w:sz="4" w:space="0"/>
              <w:left w:val="single" w:color="000000" w:sz="4" w:space="0"/>
              <w:bottom w:val="single" w:color="auto"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669" w:type="dxa"/>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367" w:type="dxa"/>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809" w:type="dxa"/>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676" w:type="dxa"/>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367" w:type="dxa"/>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539" w:type="dxa"/>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684" w:type="dxa"/>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383" w:type="dxa"/>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726" w:type="dxa"/>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710" w:type="dxa"/>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809" w:type="dxa"/>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893" w:type="dxa"/>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674"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673"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673" w:type="dxa"/>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671" w:type="dxa"/>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c>
          <w:tcPr>
            <w:tcW w:w="367" w:type="dxa"/>
            <w:vMerge w:val="continue"/>
            <w:tcBorders>
              <w:left w:val="single" w:color="000000" w:sz="4" w:space="0"/>
              <w:bottom w:val="single" w:color="000000" w:sz="4" w:space="0"/>
              <w:right w:val="single" w:color="000000" w:sz="4" w:space="0"/>
            </w:tcBorders>
            <w:noWrap w:val="0"/>
            <w:vAlign w:val="center"/>
          </w:tcPr>
          <w:p>
            <w:pPr>
              <w:snapToGrid/>
              <w:spacing w:line="240" w:lineRule="auto"/>
              <w:ind w:left="0" w:leftChars="0" w:right="0" w:rightChars="0" w:firstLine="0" w:firstLineChars="0"/>
              <w:jc w:val="center"/>
              <w:rPr>
                <w:rFonts w:ascii="Times New Roman" w:hAnsi="Times New Roman" w:eastAsia="黑体" w:cs="黑体"/>
                <w:color w:val="000000"/>
                <w:sz w:val="15"/>
                <w:szCs w:val="15"/>
                <w:highlight w:val="none"/>
                <w:shd w:val="clear" w:color="auto" w:fill="auto"/>
              </w:rPr>
            </w:pPr>
          </w:p>
        </w:tc>
      </w:tr>
    </w:tbl>
    <w:p>
      <w:pPr>
        <w:bidi w:val="0"/>
        <w:spacing w:line="600" w:lineRule="exact"/>
        <w:ind w:left="0" w:leftChars="0" w:firstLine="0" w:firstLineChars="0"/>
        <w:jc w:val="left"/>
        <w:rPr>
          <w:rFonts w:hint="eastAsia" w:ascii="Times New Roman" w:hAnsi="Times New Roman" w:eastAsia="仿宋_GB2312"/>
          <w:highlight w:val="none"/>
          <w:shd w:val="clear" w:color="auto" w:fill="auto"/>
          <w:lang w:val="en-US" w:eastAsia="zh-CN"/>
        </w:rPr>
      </w:pPr>
    </w:p>
    <w:sectPr>
      <w:pgSz w:w="23811" w:h="16838" w:orient="landscape"/>
      <w:pgMar w:top="1587" w:right="2098" w:bottom="1474" w:left="1984" w:header="851" w:footer="141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script"/>
    <w:pitch w:val="default"/>
    <w:sig w:usb0="A00002BF" w:usb1="184F6CFA"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keepNext w:val="0"/>
      <w:keepLines w:val="0"/>
      <w:pageBreakBefore w:val="0"/>
      <w:widowControl w:val="0"/>
      <w:kinsoku/>
      <w:wordWrap/>
      <w:overflowPunct/>
      <w:topLinePunct w:val="0"/>
      <w:autoSpaceDE/>
      <w:autoSpaceDN/>
      <w:bidi w:val="0"/>
      <w:adjustRightInd/>
      <w:snapToGrid w:val="0"/>
      <w:ind w:left="210" w:leftChars="100"/>
      <w:jc w:val="right"/>
      <w:textAlignment w:val="auto"/>
      <w:rPr>
        <w:rFonts w:ascii="Times New Roman" w:hAnsi="Times New Roman" w:cs="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Fn5OWuAQAASwMAAA4AAABkcnMv&#10;ZTJvRG9jLnhtbK1TS27bMBDdB+gdCO5ryl4UhmA5SBAkCFC0BZIcgKZIiwB/GNKWfIH2Bl11033P&#10;5XNkSEtO2u6CbKjhzPDNezOj1eVgDdlLiNq7hs5nFSXSCd9qt23o0+PtxyUlMXHXcuOdbOhBRnq5&#10;/nCx6kMtF77zppVAEMTFug8N7VIKNWNRdNLyOPNBOgwqD5YnvMKWtcB7RLeGLarqE+s9tAG8kDGi&#10;9+YUpOuCr5QU6atSUSZiGorcUjmhnJt8svWK11vgodNipMHfwMJy7bDoGeqGJ052oP+DslqAj16l&#10;mfCWeaW0kEUDqplX/6h56HiQRQs2J4Zzm+L7wYov+29AdIuzo8RxiyM6/vxx/PXn+Ps7mef29CHW&#10;mPUQMC8N137IqaM/ojOrHhTY/EU9BOPY6MO5uXJIRORHy8VyWWFIYGy6IA57eR4gpjvpLclGQwGn&#10;V5rK959jOqVOKbma87faGPTz2ri/HIiZPSxzP3HMVho2w0h849sD6ulx8A11uJmUmHuHfc07Mhkw&#10;GZvJ2AXQ264sUa4Xw9UuIYnCLVc4wY6FcWJF3bhdeSVe30vWyz+wf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DOqXm5zwAAAAUBAAAPAAAAAAAAAAEAIAAAADgAAABkcnMvZG93bnJldi54bWxQSwEC&#10;FAAUAAAACACHTuJA8Wfk5a4BAABLAwAADgAAAAAAAAABACAAAAA0AQAAZHJzL2Uyb0RvYy54bWxQ&#10;SwUGAAAAAAYABgBZAQAAVAUAAAAA&#10;">
              <v:fill on="f" focussize="0,0"/>
              <v:stroke on="f"/>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F0AEA"/>
    <w:rsid w:val="03563CB7"/>
    <w:rsid w:val="03DF1EFE"/>
    <w:rsid w:val="04695C6C"/>
    <w:rsid w:val="05AC4538"/>
    <w:rsid w:val="06400C4E"/>
    <w:rsid w:val="06533FD6"/>
    <w:rsid w:val="076646E5"/>
    <w:rsid w:val="0ACC537C"/>
    <w:rsid w:val="0B301291"/>
    <w:rsid w:val="0C023AB0"/>
    <w:rsid w:val="0E2F3A82"/>
    <w:rsid w:val="0FCA4228"/>
    <w:rsid w:val="10D86050"/>
    <w:rsid w:val="1385340C"/>
    <w:rsid w:val="14483224"/>
    <w:rsid w:val="152F30D4"/>
    <w:rsid w:val="181A30AD"/>
    <w:rsid w:val="18AB63FB"/>
    <w:rsid w:val="190C1251"/>
    <w:rsid w:val="1B916702"/>
    <w:rsid w:val="1D214EDE"/>
    <w:rsid w:val="1DB775F0"/>
    <w:rsid w:val="1FB80C50"/>
    <w:rsid w:val="1FF76175"/>
    <w:rsid w:val="225D84CF"/>
    <w:rsid w:val="22C975F6"/>
    <w:rsid w:val="243F3E9B"/>
    <w:rsid w:val="253E77AA"/>
    <w:rsid w:val="255D6CCF"/>
    <w:rsid w:val="271138CD"/>
    <w:rsid w:val="27D54135"/>
    <w:rsid w:val="28785E2D"/>
    <w:rsid w:val="298B2612"/>
    <w:rsid w:val="2B160E4F"/>
    <w:rsid w:val="2BA94A1C"/>
    <w:rsid w:val="30A25EDE"/>
    <w:rsid w:val="33067A16"/>
    <w:rsid w:val="35572FB7"/>
    <w:rsid w:val="38137784"/>
    <w:rsid w:val="39243934"/>
    <w:rsid w:val="39512FED"/>
    <w:rsid w:val="398269A0"/>
    <w:rsid w:val="39A86313"/>
    <w:rsid w:val="3DACCD63"/>
    <w:rsid w:val="3DE81015"/>
    <w:rsid w:val="3DFD78EC"/>
    <w:rsid w:val="3EFF72DF"/>
    <w:rsid w:val="3F3917BB"/>
    <w:rsid w:val="3F5BC127"/>
    <w:rsid w:val="3FFDA17E"/>
    <w:rsid w:val="3FFE1FC7"/>
    <w:rsid w:val="400E47B9"/>
    <w:rsid w:val="41E6287B"/>
    <w:rsid w:val="436C60D5"/>
    <w:rsid w:val="44AB4F09"/>
    <w:rsid w:val="45346865"/>
    <w:rsid w:val="470B6133"/>
    <w:rsid w:val="479D4BDC"/>
    <w:rsid w:val="48F84495"/>
    <w:rsid w:val="4CEFF21F"/>
    <w:rsid w:val="4D221AE1"/>
    <w:rsid w:val="4D9E40E5"/>
    <w:rsid w:val="4E7E6B97"/>
    <w:rsid w:val="4EAA4E4E"/>
    <w:rsid w:val="4F1774DB"/>
    <w:rsid w:val="50541507"/>
    <w:rsid w:val="51FED7AB"/>
    <w:rsid w:val="527631CD"/>
    <w:rsid w:val="533E33EC"/>
    <w:rsid w:val="545A532F"/>
    <w:rsid w:val="5512068D"/>
    <w:rsid w:val="55FE17BC"/>
    <w:rsid w:val="5614137A"/>
    <w:rsid w:val="572B3994"/>
    <w:rsid w:val="57E50B16"/>
    <w:rsid w:val="57EFC1DB"/>
    <w:rsid w:val="58BF14F7"/>
    <w:rsid w:val="5B0E3C0F"/>
    <w:rsid w:val="5C5B1574"/>
    <w:rsid w:val="5E359F50"/>
    <w:rsid w:val="5ECF49B0"/>
    <w:rsid w:val="5EFA7CCD"/>
    <w:rsid w:val="5EFF1C82"/>
    <w:rsid w:val="5F4674D1"/>
    <w:rsid w:val="62694AAC"/>
    <w:rsid w:val="65C01E4A"/>
    <w:rsid w:val="65EE47FE"/>
    <w:rsid w:val="67036F14"/>
    <w:rsid w:val="67B70494"/>
    <w:rsid w:val="68721717"/>
    <w:rsid w:val="6A883473"/>
    <w:rsid w:val="6A8C4871"/>
    <w:rsid w:val="6B535C57"/>
    <w:rsid w:val="6C223454"/>
    <w:rsid w:val="6D5B2B7D"/>
    <w:rsid w:val="70785D38"/>
    <w:rsid w:val="71AF12E6"/>
    <w:rsid w:val="72AE0138"/>
    <w:rsid w:val="74125337"/>
    <w:rsid w:val="744B56A6"/>
    <w:rsid w:val="74DBBDFB"/>
    <w:rsid w:val="75093403"/>
    <w:rsid w:val="752536BC"/>
    <w:rsid w:val="757DE146"/>
    <w:rsid w:val="7694CCD6"/>
    <w:rsid w:val="76CB3ACA"/>
    <w:rsid w:val="77AB58A2"/>
    <w:rsid w:val="77BA4E88"/>
    <w:rsid w:val="77BD3375"/>
    <w:rsid w:val="78444D64"/>
    <w:rsid w:val="7B18439F"/>
    <w:rsid w:val="7CDF76D4"/>
    <w:rsid w:val="7CF80599"/>
    <w:rsid w:val="7D4A8E02"/>
    <w:rsid w:val="7DFFA061"/>
    <w:rsid w:val="7F127358"/>
    <w:rsid w:val="7F7D58EC"/>
    <w:rsid w:val="7FD72AD7"/>
    <w:rsid w:val="9D4B5CFF"/>
    <w:rsid w:val="9EB91D9A"/>
    <w:rsid w:val="A64A0CB7"/>
    <w:rsid w:val="ABFDC205"/>
    <w:rsid w:val="ADACEBA7"/>
    <w:rsid w:val="B34D125C"/>
    <w:rsid w:val="BA7B23C6"/>
    <w:rsid w:val="BEB7232C"/>
    <w:rsid w:val="BFF3FDBE"/>
    <w:rsid w:val="BFFBF76F"/>
    <w:rsid w:val="BFFDA508"/>
    <w:rsid w:val="DABDF8B8"/>
    <w:rsid w:val="DBFB3E92"/>
    <w:rsid w:val="DBFF78CB"/>
    <w:rsid w:val="DFD72490"/>
    <w:rsid w:val="DFE38D25"/>
    <w:rsid w:val="E1ED3419"/>
    <w:rsid w:val="E9F71EFB"/>
    <w:rsid w:val="ED7866B8"/>
    <w:rsid w:val="EE872E09"/>
    <w:rsid w:val="EFABA7DE"/>
    <w:rsid w:val="F6BD6B48"/>
    <w:rsid w:val="F79ED7C8"/>
    <w:rsid w:val="FBD7372F"/>
    <w:rsid w:val="FBFFE218"/>
    <w:rsid w:val="FC6E848B"/>
    <w:rsid w:val="FD4EB65B"/>
    <w:rsid w:val="FD76FB90"/>
    <w:rsid w:val="FD7F4F25"/>
    <w:rsid w:val="FDD3E4E9"/>
    <w:rsid w:val="FEBF3260"/>
    <w:rsid w:val="FF1FE1DE"/>
    <w:rsid w:val="FF912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10052</Words>
  <Characters>10167</Characters>
  <Lines>0</Lines>
  <Paragraphs>0</Paragraphs>
  <TotalTime>997</TotalTime>
  <ScaleCrop>false</ScaleCrop>
  <LinksUpToDate>false</LinksUpToDate>
  <CharactersWithSpaces>10401</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2025-06-04T06:08:00Z</dcterms:created>
  <dc:creator>lenovo</dc:creator>
  <cp:lastModifiedBy>ysgz</cp:lastModifiedBy>
  <cp:lastPrinted>2026-09-03T00:25:00Z</cp:lastPrinted>
  <dcterms:modified xsi:type="dcterms:W3CDTF">2026-09-04T10:22:47Z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F614B7C9A7C444C1BEBD7FF5073D0789_12</vt:lpwstr>
  </property>
  <property fmtid="{D5CDD505-2E9C-101B-9397-08002B2CF9AE}" pid="4" name="KSOTemplateDocerSaveRecord">
    <vt:lpwstr>eyJoZGlkIjoiNGUzMDVlZGEwNDRiNTBiNjI5ZmYwYzg2Y2FkYzg2YzgiLCJ1c2VySWQiOiI0MjAwMTg1NzEifQ==</vt:lpwstr>
  </property>
</Properties>
</file>