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9569A">
      <w:pPr>
        <w:keepNext w:val="0"/>
        <w:keepLines w:val="0"/>
        <w:widowControl w:val="0"/>
        <w:suppressLineNumbers w:val="0"/>
        <w:suppressAutoHyphens/>
        <w:autoSpaceDE/>
        <w:autoSpaceDN/>
        <w:spacing w:before="0" w:beforeAutospacing="0" w:after="0" w:afterAutospacing="0" w:line="560" w:lineRule="exact"/>
        <w:ind w:left="0" w:right="0" w:firstLine="0" w:firstLineChars="0"/>
        <w:jc w:val="both"/>
        <w:rPr>
          <w:rFonts w:hint="eastAsia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2"/>
          <w:kern w:val="2"/>
          <w:position w:val="1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spacing w:val="-12"/>
          <w:kern w:val="2"/>
          <w:position w:val="1"/>
          <w:sz w:val="32"/>
          <w:szCs w:val="32"/>
          <w:lang w:val="en-US" w:eastAsia="zh-CN" w:bidi="ar"/>
        </w:rPr>
        <w:t>1</w:t>
      </w:r>
    </w:p>
    <w:p w14:paraId="022A34A4">
      <w:pPr>
        <w:keepNext w:val="0"/>
        <w:keepLines w:val="0"/>
        <w:widowControl w:val="0"/>
        <w:suppressLineNumbers w:val="0"/>
        <w:suppressAutoHyphens/>
        <w:autoSpaceDE/>
        <w:autoSpaceDN/>
        <w:spacing w:before="0" w:beforeAutospacing="0" w:after="0" w:afterAutospacing="0" w:line="620" w:lineRule="exact"/>
        <w:ind w:left="0" w:right="0" w:firstLine="704" w:firstLineChars="200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-4"/>
          <w:kern w:val="2"/>
          <w:sz w:val="36"/>
          <w:szCs w:val="36"/>
        </w:rPr>
      </w:pPr>
    </w:p>
    <w:p w14:paraId="07B1BAE4">
      <w:pPr>
        <w:keepNext w:val="0"/>
        <w:keepLines w:val="0"/>
        <w:widowControl w:val="0"/>
        <w:suppressLineNumbers w:val="0"/>
        <w:suppressAutoHyphens/>
        <w:autoSpaceDE/>
        <w:autoSpaceDN/>
        <w:spacing w:before="0" w:beforeAutospacing="0" w:after="0" w:afterAutospacing="0" w:line="620" w:lineRule="exact"/>
        <w:ind w:left="0" w:right="0" w:firstLine="0" w:firstLineChars="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银川市2026年度保障性并网新能源项目</w:t>
      </w:r>
    </w:p>
    <w:p w14:paraId="41E41468">
      <w:pPr>
        <w:keepNext w:val="0"/>
        <w:keepLines w:val="0"/>
        <w:widowControl w:val="0"/>
        <w:suppressLineNumbers w:val="0"/>
        <w:suppressAutoHyphens/>
        <w:autoSpaceDE/>
        <w:autoSpaceDN/>
        <w:spacing w:before="0" w:beforeAutospacing="0" w:after="0" w:afterAutospacing="0" w:line="620" w:lineRule="exact"/>
        <w:ind w:left="0" w:right="0" w:firstLine="0" w:firstLineChars="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竞争性配置竞争要素和评分标准</w:t>
      </w:r>
    </w:p>
    <w:p w14:paraId="570ED02E">
      <w:pPr>
        <w:pStyle w:val="2"/>
        <w:keepNext w:val="0"/>
        <w:keepLines w:val="0"/>
        <w:widowControl/>
        <w:suppressLineNumbers w:val="0"/>
        <w:autoSpaceDE/>
        <w:autoSpaceDN/>
        <w:spacing w:before="0" w:beforeAutospacing="0" w:line="620" w:lineRule="exact"/>
        <w:jc w:val="center"/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32"/>
        </w:rPr>
      </w:pPr>
    </w:p>
    <w:p w14:paraId="1D00D8B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68" w:firstLineChars="200"/>
        <w:jc w:val="both"/>
        <w:outlineLvl w:val="0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2"/>
          <w:szCs w:val="32"/>
          <w:lang w:val="en-US" w:eastAsia="zh-CN" w:bidi="ar"/>
        </w:rPr>
        <w:t>一、竞争要素</w:t>
      </w:r>
    </w:p>
    <w:p w14:paraId="15538958">
      <w:pPr>
        <w:pStyle w:val="8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7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（一）企业能力。</w:t>
      </w:r>
      <w:r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  <w:lang w:val="en-US" w:eastAsia="zh-CN" w:bidi="ar"/>
        </w:rPr>
        <w:t>包括投资能力、项目业绩、企业诚信、履</w:t>
      </w:r>
      <w:r>
        <w:rPr>
          <w:rFonts w:hint="default" w:ascii="Times New Roman" w:hAnsi="Times New Roman" w:eastAsia="方正仿宋_GBK" w:cs="Times New Roman"/>
          <w:spacing w:val="-8"/>
          <w:kern w:val="2"/>
          <w:sz w:val="32"/>
          <w:szCs w:val="32"/>
          <w:lang w:val="en-US" w:eastAsia="zh-CN" w:bidi="ar"/>
        </w:rPr>
        <w:t>约情况、安全管理能力等。</w:t>
      </w:r>
    </w:p>
    <w:p w14:paraId="406ABD4C">
      <w:pPr>
        <w:pStyle w:val="8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7" w:firstLineChars="200"/>
        <w:jc w:val="both"/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（二）设备性能及技术方案。</w:t>
      </w:r>
      <w:r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  <w:lang w:val="en-US" w:eastAsia="zh-CN" w:bidi="ar"/>
        </w:rPr>
        <w:t>主要包括机组性能，充分利用资源条件、优化技术方案、利用小时测算、智能化控制运行维护、经济合理性等。</w:t>
      </w:r>
    </w:p>
    <w:p w14:paraId="0AD51629">
      <w:pPr>
        <w:pStyle w:val="8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7" w:firstLineChars="200"/>
        <w:jc w:val="both"/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前期工作。</w:t>
      </w:r>
      <w:r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  <w:lang w:val="en-US" w:eastAsia="zh-CN" w:bidi="ar"/>
        </w:rPr>
        <w:t>包括开展前期可行性研究情况、已取得支持性文件等。</w:t>
      </w:r>
    </w:p>
    <w:p w14:paraId="46D74EEC">
      <w:pPr>
        <w:pStyle w:val="8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7" w:firstLineChars="200"/>
        <w:jc w:val="both"/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（四）接入消纳</w:t>
      </w:r>
      <w:r>
        <w:rPr>
          <w:rFonts w:hint="default" w:ascii="Times New Roman" w:hAnsi="Times New Roman" w:eastAsia="方正楷体_GBK" w:cs="Times New Roman"/>
          <w:b/>
          <w:bCs/>
          <w:spacing w:val="1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spacing w:val="1"/>
          <w:kern w:val="2"/>
          <w:sz w:val="32"/>
          <w:szCs w:val="32"/>
          <w:lang w:val="en-US" w:eastAsia="zh-CN" w:bidi="ar"/>
        </w:rPr>
        <w:t>包括接入距离、接入时序、储能配置、消纳能力等。</w:t>
      </w:r>
    </w:p>
    <w:p w14:paraId="12D3CB62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68" w:firstLineChars="200"/>
        <w:jc w:val="both"/>
        <w:outlineLvl w:val="0"/>
        <w:rPr>
          <w:rFonts w:hint="eastAsia" w:ascii="Times New Roman" w:hAnsi="Times New Roman" w:eastAsia="黑体" w:cs="Times New Roman"/>
          <w:spacing w:val="7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2"/>
          <w:szCs w:val="32"/>
          <w:lang w:val="en-US" w:eastAsia="zh-CN" w:bidi="ar"/>
        </w:rPr>
        <w:t>二、竞争性配置评分细则</w:t>
      </w:r>
    </w:p>
    <w:p w14:paraId="3D0DE6A3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根据《自治区发展改革委关于印发&lt;宁夏回族自治区风电、光伏发电项目管理办法&gt;的通知》（宁发改规发〔2025〕4号）、《自治区发展改革委关于进一步规范新能源项目管理有关工作的通知》（宁发改新能源〔2026〕456号）和工作实际，制定竞争性配置评分细则如下：</w:t>
      </w:r>
    </w:p>
    <w:p w14:paraId="4FCDD393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31"/>
        <w:gridCol w:w="1270"/>
        <w:gridCol w:w="4302"/>
        <w:gridCol w:w="1795"/>
      </w:tblGrid>
      <w:tr w14:paraId="7246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145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b/>
                <w:bCs w:val="0"/>
                <w:spacing w:val="2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pacing w:val="20"/>
                <w:kern w:val="2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A87F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评分指标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249C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评分标准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B8A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其他要求</w:t>
            </w:r>
          </w:p>
        </w:tc>
      </w:tr>
      <w:tr w14:paraId="7DB4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2C33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（一）企业实力（满分10分）</w:t>
            </w:r>
          </w:p>
        </w:tc>
      </w:tr>
      <w:tr w14:paraId="310C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9A5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14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DA3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投资</w:t>
            </w:r>
          </w:p>
          <w:p w14:paraId="79E1AAB4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能力</w:t>
            </w:r>
          </w:p>
          <w:p w14:paraId="1CF6199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（4分）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2648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资金能力</w:t>
            </w:r>
          </w:p>
          <w:p w14:paraId="5D3BD41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（0-2分）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AB59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根据企业资本金额度达到申报项目总投资比例，进行综合评分。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67FB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72F0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E2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6B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0AF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资产负债率</w:t>
            </w:r>
          </w:p>
          <w:p w14:paraId="75B73CC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（0-2分）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3A5A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根据企业上一年度的资产负债率，进行综合评分。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DD93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6790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EE223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B59AC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建设业绩（4分）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C46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根据企业在国内投资建设新能源项目已建成装机容量，进行综合评分。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D4E6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7C2E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C90E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893C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企业诚信（2分）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16C1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根据企业诚信履约情况（无不良征信或其他违信情况），判定是否得分。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DEA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如列入失信企业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黑名单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，取消评优资格。</w:t>
            </w:r>
          </w:p>
        </w:tc>
      </w:tr>
      <w:tr w14:paraId="053A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EA02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（二）设备及技术先进性（满分30分）</w:t>
            </w:r>
          </w:p>
        </w:tc>
      </w:tr>
      <w:tr w14:paraId="5901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C3A1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14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A15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重点设备先进性（18分）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6F3F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设备选型（0-10分）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EE653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优先选用大容量、长叶片、高塔筒、智慧化先进风电机组，依据机组行业先进水平分档综合评分；鼓励打造风光储一体化系统友好型电站。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AEBB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4C28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0B69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51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A4F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CAC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风机性能指标（0-8分）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05BBB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依据风机发电效率、载荷控制、可靠性等核心性能参数分档综合评分。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E8F3C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2677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8B30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4EF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项目技术方案评价（12分）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BC8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资源利用（0-6分）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905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支持具备风资源、电网接入条件的存量光伏电站，在厂区内部及周边500米布局风光同场风电项目，按土地集约节约利用成效分档综合评分。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6B84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7D94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DA3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5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5F2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138F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智能化设计（0-3分）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3D06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依据风电场智慧运维、远程监控、功率协同调控等场站智能化设计水平分档综合评分。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CADB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67D0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A0174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5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0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705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技术经济合理性（0-3分）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E3C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结合风光储协同配置、风光同场布局方案，对照建设投资、消纳保障、长期运营效益分档综合评分。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0134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  <w:tr w14:paraId="4055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1A66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（三）已开展前期工作深度（满分30分）</w:t>
            </w:r>
          </w:p>
        </w:tc>
      </w:tr>
      <w:tr w14:paraId="7DDB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460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6A9D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可行性研究报告深度</w:t>
            </w:r>
          </w:p>
          <w:p w14:paraId="09FDE853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（0-13分）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55C4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根据企业是否委托专业机构编制新能源项目可行性研究报告（须包含安全性分析、评估等内容）及可行性研究报告深度进行评分。未开展可研编制不得分。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0A66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  <w:tr w14:paraId="6EDE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36A3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FDE0F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已取得相关</w:t>
            </w:r>
          </w:p>
          <w:p w14:paraId="6D32BEE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部门支持性文件</w:t>
            </w:r>
          </w:p>
          <w:p w14:paraId="089A434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（0-12分）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C82A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根据企业是否取得县级或县级以上自然资源部门（包含压覆矿产支持性意见）、林业和草原部门、环保部门、文物、军事等支持性意见，分项进行综合评分。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143EA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如项目用地不符合国家及自治区关于生态红线、自然保护区、耕地等政策要求，取消评优资格。</w:t>
            </w:r>
          </w:p>
        </w:tc>
      </w:tr>
      <w:tr w14:paraId="03A8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ECA2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C44B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已取得的地方政府支持性文件（0-5分）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27908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相关县（市）区、园区提供支持项目建设的说明。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000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  <w:tr w14:paraId="04B5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9214B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（四）接入消纳条件（满分30分）</w:t>
            </w:r>
          </w:p>
        </w:tc>
      </w:tr>
      <w:tr w14:paraId="3D65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49564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6269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接入距离（0-5分）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FB2C6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依据企业提供的接入方案，由电网企业根据接入条件优劣、接入线路长短、方案可行性，进行排序打分。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65D6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  <w:tr w14:paraId="02E0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A13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E927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接入时序（0-5分）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44764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根据电网企业评估意见，分档进行综合评分。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5E1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  <w:tr w14:paraId="0C85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D858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DCE2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储能配置（0-10分）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B674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对配储比例高、储能技术路线先进的项目分档予以评分。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7923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  <w:tr w14:paraId="6E9F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82EE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2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2C596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消纳能力（0-10分）</w:t>
            </w:r>
          </w:p>
        </w:tc>
        <w:tc>
          <w:tcPr>
            <w:tcW w:w="2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1090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具备100%自主消纳能力的，得满分，每下降10%的，扣减0.5分。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96D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</w:p>
        </w:tc>
      </w:tr>
    </w:tbl>
    <w:p w14:paraId="0EAE4B0A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line="560" w:lineRule="exact"/>
        <w:ind w:left="0" w:firstLine="640" w:firstLineChars="200"/>
        <w:jc w:val="both"/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32"/>
        </w:rPr>
        <w:t>三、申报材料</w:t>
      </w:r>
    </w:p>
    <w:p w14:paraId="332FBDA2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申报材料包括申报资格材料、企业实力及风电项目材料、项目申报关键信息表和企业承诺函，分别独立装订成册并附目录，一式3份，并提供可编辑电子版。申报材料封面加盖申报企业公章</w:t>
      </w:r>
      <w:r>
        <w:rPr>
          <w:rFonts w:hint="default" w:ascii="Times New Roman" w:hAnsi="Times New Roman" w:eastAsia="仿宋_GB2312" w:cs="Times New Roman"/>
          <w:i w:val="0"/>
          <w:iCs w:val="0"/>
          <w:kern w:val="2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若为联合体，需联合体双方盖章</w:t>
      </w:r>
      <w:r>
        <w:rPr>
          <w:rFonts w:hint="default" w:ascii="Times New Roman" w:hAnsi="Times New Roman" w:eastAsia="仿宋_GB2312" w:cs="Times New Roman"/>
          <w:i w:val="0"/>
          <w:iCs w:val="0"/>
          <w:kern w:val="2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，确定1名项目联系人和联系方式。</w:t>
      </w:r>
    </w:p>
    <w:p w14:paraId="4F21B46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"/>
        </w:rPr>
        <w:t>（一）申报资格材料</w:t>
      </w:r>
    </w:p>
    <w:p w14:paraId="5B50038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1.申报企业基本情况</w:t>
      </w:r>
    </w:p>
    <w:p w14:paraId="140AFA1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提供申报企业（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包括主要股东企业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的主营业务、行业地位、股东构成、净资产。组成联合体申报项目的，除按上述要求分别说明联合体成员的基本情况，还需说明联合体间关系、出资比例、工作范围以及承担的责任，并承诺单独成立合资公司负责项目后续立项和建设推进工作；应推选一家联合体成员作为牵头人，明确全部申报工作由联合体牵头人负责。</w:t>
      </w:r>
    </w:p>
    <w:p w14:paraId="711DD34A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2.项目所在地人民政府同意项目建设的正式文件</w:t>
      </w:r>
    </w:p>
    <w:p w14:paraId="532349D1">
      <w:pPr>
        <w:pStyle w:val="3"/>
        <w:keepNext w:val="0"/>
        <w:keepLines w:val="0"/>
        <w:widowControl/>
        <w:suppressLineNumbers w:val="0"/>
        <w:autoSpaceDE w:val="0"/>
        <w:autoSpaceDN/>
        <w:spacing w:before="0" w:beforeAutospacing="0" w:line="560" w:lineRule="exact"/>
        <w:ind w:left="0" w:firstLine="643"/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eastAsia="zh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  <w:t>（二）企业实力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eastAsia="zh"/>
        </w:rPr>
        <w:t>材料</w:t>
      </w:r>
    </w:p>
    <w:p w14:paraId="1935E16F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1.企业投资能力证明材料</w:t>
      </w:r>
    </w:p>
    <w:p w14:paraId="0DFD8C7F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提供企业营业执照或组织机构代码证、统一社会信用代码证，由具有审计资格的会计师事务所针对企业财务状况出具的审计报告（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近三年，并附财务报表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）。提供申报项目资本金证明（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企业银行账户余额单、银行保函等证明材料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）。组成联合体申报的，需明确项目合作投资股权比例。</w:t>
      </w:r>
    </w:p>
    <w:p w14:paraId="72765674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2.新能源建设业绩证明材料</w:t>
      </w:r>
    </w:p>
    <w:p w14:paraId="19B17470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提供有关新能源建设业绩的项目备案（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核准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）文件和并网文件等其他证明材料。</w:t>
      </w:r>
    </w:p>
    <w:p w14:paraId="3665D31C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3.企业诚信证明材料</w:t>
      </w:r>
    </w:p>
    <w:p w14:paraId="76936175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提供中国人民银行征信中心或信用中国网站出具的企业信用报告。</w:t>
      </w:r>
    </w:p>
    <w:p w14:paraId="6890A2EF">
      <w:pPr>
        <w:pStyle w:val="3"/>
        <w:keepNext w:val="0"/>
        <w:keepLines w:val="0"/>
        <w:widowControl/>
        <w:suppressLineNumbers w:val="0"/>
        <w:autoSpaceDE w:val="0"/>
        <w:autoSpaceDN/>
        <w:spacing w:before="0" w:beforeAutospacing="0" w:line="560" w:lineRule="exact"/>
        <w:ind w:left="0" w:firstLine="643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  <w:t>（三）风电项目材料</w:t>
      </w:r>
    </w:p>
    <w:p w14:paraId="02BB323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1.前期工作证明材料</w:t>
      </w:r>
    </w:p>
    <w:p w14:paraId="1BE36449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须编制项目技术方案，核心内容包含：</w:t>
      </w:r>
    </w:p>
    <w:p w14:paraId="4A0DC684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（1）风电机组选型参数：明确机组容量、叶片长度、塔筒高度、智能化配置等级，优先采用大容量、长叶片、高塔筒、智慧化机型；</w:t>
      </w:r>
    </w:p>
    <w:p w14:paraId="7C437B0F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（2）机组性能指标：风机发电效率、载荷控制、设备可靠性等关键技术参数；</w:t>
      </w:r>
    </w:p>
    <w:p w14:paraId="7DBB720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（3）资源集约利用方案：风光同场项目说明依托存量光伏厂区及周边500米范围布局风电的土地节约举措；</w:t>
      </w:r>
    </w:p>
    <w:p w14:paraId="731105D9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（4）场站智能化设计：智慧运维平台、远程监控、风光功率协同调控系统建设内容；</w:t>
      </w:r>
    </w:p>
    <w:p w14:paraId="246484C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（5）风光储一体化配置规划（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鼓励系统友好型电站配套储能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）；</w:t>
      </w:r>
    </w:p>
    <w:p w14:paraId="172C6BAC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（6）项目技术经济合理性分析：建设投资概算、电网消纳保障措施、长期运营收益测算、全周期风险管控方案。</w:t>
      </w:r>
    </w:p>
    <w:p w14:paraId="00EB68B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2.支持性文件</w:t>
      </w:r>
    </w:p>
    <w:p w14:paraId="08534B94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提供县级或县级以上自然资源、林业和草原、环保、文物管理、军事管理等部门出具的正式文件；县级人民政府出具的支持性文件。</w:t>
      </w:r>
    </w:p>
    <w:p w14:paraId="0FE26F07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>3.电力接入及消纳方案</w:t>
      </w:r>
    </w:p>
    <w:p w14:paraId="579DD157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需明确项目接入电网电压等级、接入变电站、接入线路距离等内容。</w:t>
      </w:r>
    </w:p>
    <w:p w14:paraId="1DE598AE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"/>
        </w:rPr>
        <w:t>（四）2026年保障性新能源项目申报关键信息表</w:t>
      </w:r>
    </w:p>
    <w:p w14:paraId="67A9668E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申报企业如实填写2026年保障性并网项目申报关键信息表，并加盖企业公章。信息表模板见附件2。</w:t>
      </w:r>
    </w:p>
    <w:p w14:paraId="3785F305">
      <w:pPr>
        <w:pStyle w:val="3"/>
        <w:keepNext w:val="0"/>
        <w:keepLines w:val="0"/>
        <w:widowControl/>
        <w:suppressLineNumbers w:val="0"/>
        <w:autoSpaceDE w:val="0"/>
        <w:autoSpaceDN/>
        <w:spacing w:before="0" w:beforeAutospacing="0" w:line="560" w:lineRule="exact"/>
        <w:ind w:left="0" w:firstLine="643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</w:rPr>
        <w:t>（五）企业承诺函</w:t>
      </w:r>
    </w:p>
    <w:p w14:paraId="3D441B4C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承诺对申请材料真实性、合法性、齐全性负责；承诺项目开发建设过程中不破坏当地生态环境；承诺风电项目在自治区复核审定通过后，按要求及时建成并网；承诺不以任何形式倒卖项目。承诺函模板见附件3。</w:t>
      </w:r>
    </w:p>
    <w:p w14:paraId="4933255B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39AA2F9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84545FD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222A3641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625D475C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2166B2F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378C3F1A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95F0010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6D402308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561F1715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48A6EA6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4ACC962B">
      <w:pPr>
        <w:spacing w:line="2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B98F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A0681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7A0681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74CBA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CA2FE8"/>
    <w:rsid w:val="00DF3232"/>
    <w:rsid w:val="00EE3A9F"/>
    <w:rsid w:val="00F53AA0"/>
    <w:rsid w:val="00FA1396"/>
    <w:rsid w:val="00FB6774"/>
    <w:rsid w:val="15BFAD27"/>
    <w:rsid w:val="17FD2F4A"/>
    <w:rsid w:val="1FFCC9D7"/>
    <w:rsid w:val="3F2B2F23"/>
    <w:rsid w:val="479F256A"/>
    <w:rsid w:val="62FFBAD7"/>
    <w:rsid w:val="756F6C82"/>
    <w:rsid w:val="7BBC5F71"/>
    <w:rsid w:val="7BFF9D81"/>
    <w:rsid w:val="7F89EBC3"/>
    <w:rsid w:val="CAEF9E97"/>
    <w:rsid w:val="CAF99E58"/>
    <w:rsid w:val="F7FC575E"/>
    <w:rsid w:val="FAAF4624"/>
    <w:rsid w:val="FAF7FF83"/>
    <w:rsid w:val="FCED0443"/>
    <w:rsid w:val="FCF61D3C"/>
    <w:rsid w:val="FFBCF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0"/>
    </w:pPr>
    <w:rPr>
      <w:rFonts w:hint="eastAsia" w:ascii="等线" w:hAnsi="等线" w:eastAsia="黑体" w:cs="黑体"/>
      <w:b/>
      <w:bCs/>
      <w:kern w:val="44"/>
      <w:sz w:val="32"/>
      <w:szCs w:val="3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1"/>
    </w:pPr>
    <w:rPr>
      <w:rFonts w:hint="eastAsia" w:ascii="等线 Light" w:hAnsi="等线 Light" w:eastAsia="方正楷体_GBK" w:cs="黑体"/>
      <w:b/>
      <w:bCs/>
      <w:kern w:val="2"/>
      <w:sz w:val="32"/>
      <w:szCs w:val="32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</w:pPr>
    <w:rPr>
      <w:rFonts w:hint="eastAsia" w:ascii="等线" w:hAnsi="等线" w:eastAsia="等线" w:cs="黑体"/>
      <w:kern w:val="2"/>
      <w:sz w:val="21"/>
      <w:szCs w:val="21"/>
      <w:lang w:val="en-US" w:eastAsia="zh-CN" w:bidi="ar"/>
    </w:rPr>
  </w:style>
  <w:style w:type="paragraph" w:styleId="5">
    <w:name w:val="Body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140" w:afterAutospacing="0" w:line="271" w:lineRule="auto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2">
    <w:name w:val="16"/>
    <w:basedOn w:val="11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5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table" w:customStyle="1" w:styleId="15">
    <w:name w:val="Table Normal"/>
    <w:basedOn w:val="9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6</Pages>
  <Words>0</Words>
  <Characters>0</Characters>
  <Lines>1</Lines>
  <Paragraphs>1</Paragraphs>
  <TotalTime>22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2018-12-27T16:33:00Z</dcterms:created>
  <dc:creator>测试2</dc:creator>
  <cp:lastModifiedBy>kylin</cp:lastModifiedBy>
  <dcterms:modified xsi:type="dcterms:W3CDTF">2026-08-20T09:56:15Z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5399D7CF5331B59BBC5D866A18A6EAB8_43</vt:lpwstr>
  </property>
</Properties>
</file>