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68B5C">
      <w:pPr>
        <w:adjustRightInd w:val="0"/>
        <w:snapToGrid w:val="0"/>
        <w:spacing w:line="580" w:lineRule="exact"/>
        <w:jc w:val="left"/>
        <w:rPr>
          <w:rFonts w:hint="eastAsia" w:ascii="黑体" w:hAnsi="黑体" w:eastAsia="黑体" w:cs="黑体"/>
          <w:sz w:val="32"/>
          <w:szCs w:val="32"/>
          <w:lang w:val="en-US" w:eastAsia="zh-CN"/>
        </w:rPr>
      </w:pPr>
      <w:bookmarkStart w:id="7" w:name="_GoBack"/>
      <w:r>
        <w:rPr>
          <w:rFonts w:hint="eastAsia" w:ascii="黑体" w:hAnsi="黑体" w:eastAsia="黑体" w:cs="黑体"/>
          <w:sz w:val="32"/>
          <w:szCs w:val="32"/>
          <w:lang w:val="en-US" w:eastAsia="zh-CN"/>
        </w:rPr>
        <w:t>附件1</w:t>
      </w:r>
    </w:p>
    <w:p w14:paraId="33870E29">
      <w:pPr>
        <w:adjustRightInd w:val="0"/>
        <w:snapToGrid w:val="0"/>
        <w:spacing w:line="580" w:lineRule="exact"/>
        <w:jc w:val="center"/>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青海省新能源可持续发展价格结算机制</w:t>
      </w:r>
    </w:p>
    <w:p w14:paraId="211D9DBF">
      <w:pPr>
        <w:adjustRightInd w:val="0"/>
        <w:snapToGrid w:val="0"/>
        <w:spacing w:line="580" w:lineRule="exact"/>
        <w:jc w:val="center"/>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细则</w:t>
      </w:r>
    </w:p>
    <w:bookmarkEnd w:id="7"/>
    <w:p w14:paraId="7F9F73E2">
      <w:pPr>
        <w:pStyle w:val="6"/>
        <w:spacing w:after="0" w:line="560" w:lineRule="exact"/>
        <w:ind w:left="0"/>
        <w:rPr>
          <w:rFonts w:hint="eastAsia"/>
          <w:sz w:val="32"/>
          <w:szCs w:val="32"/>
        </w:rPr>
      </w:pPr>
    </w:p>
    <w:p w14:paraId="1A59FDA0">
      <w:pPr>
        <w:pStyle w:val="6"/>
        <w:spacing w:after="0" w:line="576" w:lineRule="exact"/>
        <w:ind w:left="0" w:leftChars="0" w:firstLine="0" w:firstLineChars="0"/>
        <w:jc w:val="center"/>
        <w:rPr>
          <w:rFonts w:hint="eastAsia" w:ascii="黑体" w:hAnsi="黑体" w:eastAsia="黑体"/>
          <w:sz w:val="32"/>
          <w:szCs w:val="32"/>
        </w:rPr>
      </w:pPr>
      <w:r>
        <w:rPr>
          <w:rFonts w:hint="eastAsia" w:ascii="黑体" w:hAnsi="黑体" w:eastAsia="黑体"/>
          <w:sz w:val="32"/>
          <w:szCs w:val="32"/>
        </w:rPr>
        <w:t>第一章  总则</w:t>
      </w:r>
    </w:p>
    <w:p w14:paraId="3D12C0E3">
      <w:pPr>
        <w:spacing w:after="0" w:line="576" w:lineRule="exact"/>
        <w:ind w:firstLine="643" w:firstLineChars="200"/>
        <w:rPr>
          <w:rFonts w:ascii="Times New Roman" w:hAnsi="Times New Roman" w:eastAsia="仿宋_GB2312"/>
          <w:sz w:val="32"/>
          <w:szCs w:val="32"/>
          <w:lang w:bidi="ar"/>
        </w:rPr>
      </w:pPr>
      <w:r>
        <w:rPr>
          <w:rFonts w:hint="eastAsia" w:ascii="楷体" w:hAnsi="楷体" w:eastAsia="楷体" w:cs="楷体"/>
          <w:b/>
          <w:bCs/>
          <w:kern w:val="0"/>
          <w:sz w:val="32"/>
          <w:szCs w:val="32"/>
          <w:shd w:val="clear" w:color="auto" w:fill="FFFFFF"/>
          <w14:ligatures w14:val="none"/>
        </w:rPr>
        <w:t xml:space="preserve"> 第一条【制定依据】</w:t>
      </w:r>
      <w:r>
        <w:rPr>
          <w:rFonts w:hint="eastAsia" w:ascii="仿宋_GB2312" w:hAnsi="仿宋_GB2312" w:eastAsia="仿宋_GB2312" w:cs="仿宋_GB2312"/>
          <w:sz w:val="32"/>
          <w:szCs w:val="32"/>
          <w:lang w:bidi="ar"/>
        </w:rPr>
        <w:t>为加快构建新型电力系统、健全绿色低碳发展机制，推动全省新能源高质量发展，助力国家清洁能源产业高地建设，</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省发展改革委、国家能源局西北监管局、省能源局</w:t>
      </w:r>
      <w:r>
        <w:rPr>
          <w:rFonts w:hint="eastAsia" w:ascii="仿宋_GB2312" w:hAnsi="仿宋_GB2312" w:eastAsia="仿宋_GB2312" w:cs="仿宋_GB2312"/>
          <w:sz w:val="32"/>
          <w:szCs w:val="32"/>
          <w:lang w:bidi="ar"/>
        </w:rPr>
        <w:t>《关于印发&lt;青海省深化新能源上网电价市场化改革实施方案&gt;的通知》(青发改价格〔2025〕  号)等文件要求，结合</w:t>
      </w:r>
      <w:r>
        <w:rPr>
          <w:rFonts w:hint="eastAsia" w:ascii="仿宋_GB2312" w:hAnsi="仿宋_GB2312" w:eastAsia="仿宋_GB2312" w:cs="仿宋_GB2312"/>
          <w:sz w:val="32"/>
          <w:szCs w:val="32"/>
          <w:lang w:val="en-US" w:eastAsia="zh-CN" w:bidi="ar"/>
        </w:rPr>
        <w:t>省情</w:t>
      </w:r>
      <w:r>
        <w:rPr>
          <w:rFonts w:hint="eastAsia" w:ascii="仿宋_GB2312" w:hAnsi="仿宋_GB2312" w:eastAsia="仿宋_GB2312" w:cs="仿宋_GB2312"/>
          <w:sz w:val="32"/>
          <w:szCs w:val="32"/>
          <w:lang w:bidi="ar"/>
        </w:rPr>
        <w:t>实际，制定本细则。</w:t>
      </w:r>
    </w:p>
    <w:p w14:paraId="45057AF5">
      <w:pPr>
        <w:spacing w:after="0" w:line="576" w:lineRule="exact"/>
        <w:ind w:firstLine="643" w:firstLineChars="200"/>
        <w:rPr>
          <w:rFonts w:hint="eastAsia" w:ascii="仿宋_GB2312" w:hAnsi="仿宋_GB2312" w:eastAsia="仿宋_GB2312" w:cs="仿宋_GB2312"/>
          <w:color w:val="0000FF"/>
          <w:sz w:val="32"/>
          <w:szCs w:val="32"/>
          <w:lang w:bidi="ar"/>
        </w:rPr>
      </w:pPr>
      <w:r>
        <w:rPr>
          <w:rFonts w:hint="eastAsia" w:ascii="楷体" w:hAnsi="楷体" w:eastAsia="楷体" w:cs="楷体"/>
          <w:b/>
          <w:bCs/>
          <w:kern w:val="0"/>
          <w:sz w:val="32"/>
          <w:szCs w:val="32"/>
          <w:shd w:val="clear" w:color="auto" w:fill="FFFFFF"/>
          <w14:ligatures w14:val="none"/>
        </w:rPr>
        <w:t>第二条【实施范围】</w:t>
      </w:r>
      <w:r>
        <w:rPr>
          <w:rFonts w:hint="eastAsia" w:ascii="仿宋_GB2312" w:hAnsi="仿宋_GB2312" w:eastAsia="仿宋_GB2312" w:cs="仿宋_GB2312"/>
          <w:sz w:val="32"/>
          <w:szCs w:val="32"/>
          <w:lang w:bidi="ar"/>
        </w:rPr>
        <w:t>本细则适用于青海省行政区域内存量和增量新能源项目（风电、太阳能发电，下同）。其中，存量项目是指2025年6月1日前投产的项目，增量项目是指2025年6月1日起投产的项目。</w:t>
      </w:r>
    </w:p>
    <w:p w14:paraId="0A1C9D25">
      <w:pPr>
        <w:spacing w:after="0" w:line="576" w:lineRule="exact"/>
        <w:ind w:firstLine="643" w:firstLineChars="200"/>
        <w:rPr>
          <w:rFonts w:ascii="Times New Roman" w:hAnsi="Times New Roman" w:eastAsia="仿宋_GB2312"/>
          <w:sz w:val="32"/>
          <w:szCs w:val="32"/>
          <w:lang w:bidi="ar"/>
        </w:rPr>
      </w:pPr>
      <w:r>
        <w:rPr>
          <w:rFonts w:hint="eastAsia" w:ascii="楷体" w:hAnsi="楷体" w:eastAsia="楷体" w:cs="楷体"/>
          <w:b/>
          <w:bCs/>
          <w:kern w:val="0"/>
          <w:sz w:val="32"/>
          <w:szCs w:val="32"/>
          <w:shd w:val="clear" w:color="auto" w:fill="FFFFFF"/>
          <w14:ligatures w14:val="none"/>
        </w:rPr>
        <w:t>第三条【结算机制】</w:t>
      </w:r>
      <w:r>
        <w:rPr>
          <w:rFonts w:hint="eastAsia" w:ascii="仿宋_GB2312" w:hAnsi="仿宋_GB2312" w:eastAsia="仿宋_GB2312" w:cs="仿宋_GB2312"/>
          <w:sz w:val="32"/>
          <w:szCs w:val="32"/>
          <w:lang w:bidi="ar"/>
        </w:rPr>
        <w:t>青海省内新能源项目参与电力市场交易后，在市场外建立新能源可持续发展价格结算机制。纳入机制的新能源电量（简称</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机制电量</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）按同类项目市场化交易均价与纳入机制的新能源电价水平（简称</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机制电价</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）由电网企业开展差价结算，</w:t>
      </w:r>
      <w:r>
        <w:rPr>
          <w:rFonts w:hint="eastAsia" w:ascii="仿宋_GB2312" w:hAnsi="仿宋_GB2312" w:eastAsia="仿宋_GB2312" w:cs="仿宋_GB2312"/>
          <w:sz w:val="32"/>
          <w:szCs w:val="32"/>
          <w:lang w:val="en-US" w:eastAsia="zh-CN" w:bidi="ar"/>
        </w:rPr>
        <w:t>差价电费</w:t>
      </w:r>
      <w:r>
        <w:rPr>
          <w:rFonts w:hint="eastAsia" w:ascii="仿宋_GB2312" w:hAnsi="仿宋_GB2312" w:eastAsia="仿宋_GB2312" w:cs="仿宋_GB2312"/>
          <w:sz w:val="32"/>
          <w:szCs w:val="32"/>
          <w:lang w:bidi="ar"/>
        </w:rPr>
        <w:t>纳入省内系统运行费。</w:t>
      </w:r>
    </w:p>
    <w:p w14:paraId="6E34E26F">
      <w:pPr>
        <w:spacing w:line="576" w:lineRule="exact"/>
        <w:ind w:firstLine="643" w:firstLineChars="200"/>
        <w:rPr>
          <w:rFonts w:hint="eastAsia" w:ascii="仿宋_GB2312" w:hAnsi="仿宋_GB2312" w:eastAsia="仿宋_GB2312" w:cs="仿宋_GB2312"/>
          <w:sz w:val="32"/>
          <w:szCs w:val="32"/>
          <w:lang w:bidi="ar"/>
        </w:rPr>
      </w:pPr>
      <w:r>
        <w:rPr>
          <w:rFonts w:hint="eastAsia" w:ascii="楷体" w:hAnsi="楷体" w:eastAsia="楷体" w:cs="楷体"/>
          <w:b/>
          <w:bCs/>
          <w:kern w:val="0"/>
          <w:sz w:val="32"/>
          <w:szCs w:val="32"/>
          <w:shd w:val="clear" w:color="auto" w:fill="FFFFFF"/>
          <w14:ligatures w14:val="none"/>
        </w:rPr>
        <w:t>第四条【投产认定】</w:t>
      </w:r>
      <w:r>
        <w:rPr>
          <w:rFonts w:hint="eastAsia" w:ascii="Times New Roman" w:hAnsi="Times New Roman" w:eastAsia="仿宋_GB2312"/>
          <w:sz w:val="32"/>
          <w:szCs w:val="32"/>
          <w:lang w:bidi="ar"/>
        </w:rPr>
        <w:t>“</w:t>
      </w:r>
      <w:r>
        <w:rPr>
          <w:rFonts w:hint="eastAsia" w:ascii="仿宋_GB2312" w:hAnsi="仿宋_GB2312" w:eastAsia="仿宋_GB2312" w:cs="仿宋_GB2312"/>
          <w:sz w:val="32"/>
          <w:szCs w:val="32"/>
          <w:lang w:bidi="ar"/>
        </w:rPr>
        <w:t>新能源发电项目投产”是指新能源发电项目按照项目核准（备案）容量全部建成并网。新能源项目</w:t>
      </w:r>
      <w:r>
        <w:rPr>
          <w:rFonts w:hint="eastAsia" w:ascii="仿宋_GB2312" w:hAnsi="仿宋_GB2312" w:eastAsia="仿宋_GB2312" w:cs="仿宋_GB2312"/>
          <w:sz w:val="32"/>
          <w:szCs w:val="32"/>
          <w:lang w:val="en-US" w:eastAsia="zh-CN" w:bidi="ar"/>
        </w:rPr>
        <w:t>按</w:t>
      </w:r>
      <w:r>
        <w:rPr>
          <w:rFonts w:hint="eastAsia" w:ascii="仿宋_GB2312" w:hAnsi="仿宋_GB2312" w:eastAsia="仿宋_GB2312" w:cs="仿宋_GB2312"/>
          <w:sz w:val="32"/>
          <w:szCs w:val="32"/>
          <w:lang w:bidi="ar"/>
        </w:rPr>
        <w:t>投产时间分类进行认定</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集中式光伏、集中式风电、光热发电项目以电力业务许可证明确的并网时间为准</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其中</w:t>
      </w:r>
      <w:r>
        <w:rPr>
          <w:rFonts w:hint="eastAsia" w:ascii="仿宋_GB2312" w:hAnsi="仿宋_GB2312" w:eastAsia="仿宋_GB2312" w:cs="仿宋_GB2312"/>
          <w:sz w:val="32"/>
          <w:szCs w:val="32"/>
          <w:lang w:bidi="ar"/>
        </w:rPr>
        <w:t>履行程序分批次并网的项目，除国家另有明确规定以外，按每批次取得电力业务许可证的实际时间分别确定。分布式光伏项目以电网企业营销系统全容量并网送电时间为准</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分散式风电按照并网调度协议记载的信息为准。电力业务许可证或电网企业营销系统并网容量、分散式风电并网调度协议记载容量小于核准（备案）容量，视作项目未全容量并网，需完成全部核准（备案）容量投产或进行核准（备案）容量变更后</w:t>
      </w:r>
      <w:r>
        <w:rPr>
          <w:rFonts w:hint="eastAsia" w:ascii="仿宋_GB2312" w:hAnsi="仿宋_GB2312" w:eastAsia="仿宋_GB2312" w:cs="仿宋_GB2312"/>
          <w:sz w:val="32"/>
          <w:szCs w:val="32"/>
          <w:lang w:val="en-US" w:eastAsia="zh-CN" w:bidi="ar"/>
        </w:rPr>
        <w:t>方</w:t>
      </w:r>
      <w:r>
        <w:rPr>
          <w:rFonts w:hint="eastAsia" w:ascii="仿宋_GB2312" w:hAnsi="仿宋_GB2312" w:eastAsia="仿宋_GB2312" w:cs="仿宋_GB2312"/>
          <w:sz w:val="32"/>
          <w:szCs w:val="32"/>
          <w:lang w:bidi="ar"/>
        </w:rPr>
        <w:t>可认定</w:t>
      </w:r>
      <w:r>
        <w:rPr>
          <w:rFonts w:hint="eastAsia" w:ascii="仿宋_GB2312" w:hAnsi="仿宋_GB2312" w:eastAsia="仿宋_GB2312" w:cs="仿宋_GB2312"/>
          <w:sz w:val="32"/>
          <w:szCs w:val="32"/>
          <w:lang w:val="en-US" w:eastAsia="zh-CN" w:bidi="ar"/>
        </w:rPr>
        <w:t>为</w:t>
      </w:r>
      <w:r>
        <w:rPr>
          <w:rFonts w:hint="eastAsia" w:ascii="仿宋_GB2312" w:hAnsi="仿宋_GB2312" w:eastAsia="仿宋_GB2312" w:cs="仿宋_GB2312"/>
          <w:sz w:val="32"/>
          <w:szCs w:val="32"/>
          <w:lang w:bidi="ar"/>
        </w:rPr>
        <w:t>全容量并网。</w:t>
      </w:r>
    </w:p>
    <w:p w14:paraId="099727BB">
      <w:pPr>
        <w:pStyle w:val="6"/>
        <w:numPr>
          <w:ilvl w:val="255"/>
          <w:numId w:val="0"/>
        </w:numPr>
        <w:spacing w:after="0" w:line="576" w:lineRule="exact"/>
        <w:ind w:firstLine="643" w:firstLineChars="200"/>
        <w:rPr>
          <w:rFonts w:hint="eastAsia" w:ascii="黑体" w:hAnsi="黑体" w:eastAsia="黑体"/>
          <w:sz w:val="32"/>
          <w:szCs w:val="32"/>
        </w:rPr>
      </w:pPr>
      <w:r>
        <w:rPr>
          <w:rFonts w:hint="eastAsia" w:ascii="楷体" w:hAnsi="楷体" w:eastAsia="楷体" w:cs="楷体"/>
          <w:b/>
          <w:bCs/>
          <w:kern w:val="0"/>
          <w:sz w:val="32"/>
          <w:szCs w:val="32"/>
          <w:shd w:val="clear" w:color="auto" w:fill="FFFFFF"/>
          <w14:ligatures w14:val="none"/>
        </w:rPr>
        <w:t>第五条【职责分工】</w:t>
      </w:r>
      <w:r>
        <w:rPr>
          <w:rFonts w:hint="eastAsia" w:ascii="仿宋_GB2312" w:hAnsi="仿宋_GB2312" w:eastAsia="仿宋_GB2312" w:cs="仿宋_GB2312"/>
          <w:sz w:val="32"/>
          <w:szCs w:val="32"/>
          <w:lang w:bidi="ar"/>
        </w:rPr>
        <w:t>省发展改革委会同国家能源局西北监管局</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省能源局、</w:t>
      </w:r>
      <w:r>
        <w:rPr>
          <w:rFonts w:hint="eastAsia" w:ascii="仿宋_GB2312" w:hAnsi="仿宋_GB2312" w:eastAsia="仿宋_GB2312" w:cs="仿宋_GB2312"/>
          <w:sz w:val="32"/>
          <w:szCs w:val="32"/>
          <w:lang w:val="en-US" w:eastAsia="zh-CN" w:bidi="ar"/>
        </w:rPr>
        <w:t>电网企业及交易机构</w:t>
      </w:r>
      <w:r>
        <w:rPr>
          <w:rFonts w:hint="eastAsia" w:ascii="仿宋_GB2312" w:hAnsi="仿宋_GB2312" w:eastAsia="仿宋_GB2312" w:cs="仿宋_GB2312"/>
          <w:sz w:val="32"/>
          <w:szCs w:val="32"/>
          <w:lang w:bidi="ar"/>
        </w:rPr>
        <w:t>负责本细则的实施工作。省发展改革委会同省能源局按照国家深化新能源上网电价市场化改革相关要求，结合青海实际制定配套政策，核定新能源项目机制电价水平，明确机制电量规模和执行期限，确定纳入机制电量执行范围的存量项目清单，确保与电力市场规则有序衔接。国家能源局西北监管局负责</w:t>
      </w:r>
      <w:r>
        <w:rPr>
          <w:rFonts w:hint="eastAsia" w:ascii="仿宋_GB2312" w:hAnsi="仿宋_GB2312" w:eastAsia="仿宋_GB2312" w:cs="仿宋_GB2312"/>
          <w:sz w:val="32"/>
          <w:szCs w:val="32"/>
          <w:lang w:val="en-US" w:eastAsia="zh-CN" w:bidi="ar"/>
        </w:rPr>
        <w:t>开展</w:t>
      </w:r>
      <w:r>
        <w:rPr>
          <w:rFonts w:hint="eastAsia" w:ascii="仿宋_GB2312" w:hAnsi="仿宋_GB2312" w:eastAsia="仿宋_GB2312" w:cs="仿宋_GB2312"/>
          <w:sz w:val="32"/>
          <w:szCs w:val="32"/>
          <w:lang w:bidi="ar"/>
        </w:rPr>
        <w:t>电力市场运行监管。电网企业负责提供新能源存量项目清单</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组织增量项目竞价</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做好</w:t>
      </w:r>
      <w:r>
        <w:rPr>
          <w:rFonts w:hint="eastAsia" w:ascii="仿宋_GB2312" w:hAnsi="仿宋_GB2312" w:eastAsia="仿宋_GB2312" w:cs="仿宋_GB2312"/>
          <w:sz w:val="32"/>
          <w:szCs w:val="32"/>
          <w:lang w:bidi="ar"/>
        </w:rPr>
        <w:t>新能源项目机制电价差价协议签订及费用结算</w:t>
      </w:r>
      <w:r>
        <w:rPr>
          <w:rFonts w:hint="eastAsia" w:ascii="仿宋_GB2312" w:hAnsi="仿宋_GB2312" w:eastAsia="仿宋_GB2312" w:cs="仿宋_GB2312"/>
          <w:sz w:val="32"/>
          <w:szCs w:val="32"/>
          <w:lang w:val="en-US" w:eastAsia="zh-CN" w:bidi="ar"/>
        </w:rPr>
        <w:t>工作。</w:t>
      </w:r>
      <w:r>
        <w:rPr>
          <w:rFonts w:hint="eastAsia" w:ascii="仿宋_GB2312" w:hAnsi="仿宋_GB2312" w:eastAsia="仿宋_GB2312" w:cs="仿宋_GB2312"/>
          <w:sz w:val="32"/>
          <w:szCs w:val="32"/>
          <w:lang w:bidi="ar"/>
        </w:rPr>
        <w:t>电力交易机构负责月度同类型电源市场交易均价计算</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相关信息披露</w:t>
      </w:r>
      <w:r>
        <w:rPr>
          <w:rFonts w:hint="eastAsia" w:ascii="仿宋_GB2312" w:hAnsi="仿宋_GB2312" w:eastAsia="仿宋_GB2312" w:cs="仿宋_GB2312"/>
          <w:sz w:val="32"/>
          <w:szCs w:val="32"/>
          <w:lang w:val="en-US" w:eastAsia="zh-CN" w:bidi="ar"/>
        </w:rPr>
        <w:t>等</w:t>
      </w:r>
      <w:r>
        <w:rPr>
          <w:rFonts w:hint="eastAsia" w:ascii="仿宋_GB2312" w:hAnsi="仿宋_GB2312" w:eastAsia="仿宋_GB2312" w:cs="仿宋_GB2312"/>
          <w:sz w:val="32"/>
          <w:szCs w:val="32"/>
          <w:lang w:bidi="ar"/>
        </w:rPr>
        <w:t>工作。</w:t>
      </w:r>
      <w:r>
        <w:rPr>
          <w:rFonts w:hint="eastAsia" w:ascii="仿宋_GB2312" w:hAnsi="仿宋_GB2312" w:eastAsia="仿宋_GB2312" w:cs="仿宋_GB2312"/>
          <w:sz w:val="32"/>
          <w:szCs w:val="32"/>
          <w:lang w:val="en-US" w:eastAsia="zh-CN" w:bidi="ar"/>
        </w:rPr>
        <w:t>各相关市场</w:t>
      </w:r>
      <w:r>
        <w:rPr>
          <w:rFonts w:hint="eastAsia" w:ascii="仿宋_GB2312" w:hAnsi="仿宋_GB2312" w:eastAsia="仿宋_GB2312" w:cs="仿宋_GB2312"/>
          <w:sz w:val="32"/>
          <w:szCs w:val="32"/>
          <w:lang w:bidi="ar"/>
        </w:rPr>
        <w:t>主体</w:t>
      </w:r>
      <w:r>
        <w:rPr>
          <w:rFonts w:hint="eastAsia" w:ascii="仿宋_GB2312" w:hAnsi="仿宋_GB2312" w:eastAsia="仿宋_GB2312" w:cs="仿宋_GB2312"/>
          <w:sz w:val="32"/>
          <w:szCs w:val="32"/>
          <w:lang w:val="en-US" w:eastAsia="zh-CN" w:bidi="ar"/>
        </w:rPr>
        <w:t>应当</w:t>
      </w:r>
      <w:r>
        <w:rPr>
          <w:rFonts w:hint="eastAsia" w:ascii="仿宋_GB2312" w:hAnsi="仿宋_GB2312" w:eastAsia="仿宋_GB2312" w:cs="仿宋_GB2312"/>
          <w:sz w:val="32"/>
          <w:szCs w:val="32"/>
          <w:lang w:bidi="ar"/>
        </w:rPr>
        <w:t>按政策要求提供真实、必要的资料，</w:t>
      </w:r>
      <w:r>
        <w:rPr>
          <w:rFonts w:hint="eastAsia" w:ascii="仿宋_GB2312" w:hAnsi="仿宋_GB2312" w:eastAsia="仿宋_GB2312" w:cs="仿宋_GB2312"/>
          <w:sz w:val="32"/>
          <w:szCs w:val="32"/>
          <w:lang w:val="en-US" w:eastAsia="zh-CN" w:bidi="ar"/>
        </w:rPr>
        <w:t>依法依规</w:t>
      </w:r>
      <w:r>
        <w:rPr>
          <w:rFonts w:hint="eastAsia" w:ascii="仿宋_GB2312" w:hAnsi="仿宋_GB2312" w:eastAsia="仿宋_GB2312" w:cs="仿宋_GB2312"/>
          <w:sz w:val="32"/>
          <w:szCs w:val="32"/>
          <w:lang w:bidi="ar"/>
        </w:rPr>
        <w:t>参与</w:t>
      </w:r>
      <w:r>
        <w:rPr>
          <w:rFonts w:hint="eastAsia" w:ascii="仿宋_GB2312" w:hAnsi="仿宋_GB2312" w:eastAsia="仿宋_GB2312" w:cs="仿宋_GB2312"/>
          <w:sz w:val="32"/>
          <w:szCs w:val="32"/>
          <w:lang w:val="en-US" w:eastAsia="zh-CN" w:bidi="ar"/>
        </w:rPr>
        <w:t>电力市场交易</w:t>
      </w:r>
      <w:r>
        <w:rPr>
          <w:rFonts w:hint="eastAsia" w:ascii="仿宋_GB2312" w:hAnsi="仿宋_GB2312" w:eastAsia="仿宋_GB2312" w:cs="仿宋_GB2312"/>
          <w:sz w:val="32"/>
          <w:szCs w:val="32"/>
          <w:lang w:bidi="ar"/>
        </w:rPr>
        <w:t>。</w:t>
      </w:r>
    </w:p>
    <w:p w14:paraId="51CF2985">
      <w:pPr>
        <w:pStyle w:val="6"/>
        <w:numPr>
          <w:ilvl w:val="255"/>
          <w:numId w:val="0"/>
        </w:numPr>
        <w:spacing w:after="0" w:line="576" w:lineRule="exact"/>
        <w:jc w:val="center"/>
        <w:rPr>
          <w:rFonts w:hint="eastAsia" w:ascii="黑体" w:hAnsi="黑体" w:eastAsia="黑体"/>
          <w:sz w:val="32"/>
          <w:szCs w:val="32"/>
        </w:rPr>
      </w:pPr>
      <w:r>
        <w:rPr>
          <w:rFonts w:hint="eastAsia" w:ascii="黑体" w:hAnsi="黑体" w:eastAsia="黑体"/>
          <w:sz w:val="32"/>
          <w:szCs w:val="32"/>
        </w:rPr>
        <w:t>第二章  机制电量和电价</w:t>
      </w:r>
    </w:p>
    <w:p w14:paraId="449C049E">
      <w:pPr>
        <w:spacing w:line="576" w:lineRule="exact"/>
        <w:ind w:firstLine="643" w:firstLineChars="200"/>
        <w:rPr>
          <w:rFonts w:hint="eastAsia" w:ascii="仿宋_GB2312" w:hAnsi="仿宋_GB2312" w:eastAsia="仿宋_GB2312" w:cs="仿宋_GB2312"/>
          <w:sz w:val="32"/>
          <w:szCs w:val="32"/>
          <w:lang w:bidi="ar"/>
        </w:rPr>
      </w:pPr>
      <w:bookmarkStart w:id="0" w:name="OLE_LINK2"/>
      <w:r>
        <w:rPr>
          <w:rFonts w:hint="eastAsia" w:ascii="楷体" w:hAnsi="楷体" w:eastAsia="楷体" w:cs="楷体"/>
          <w:b/>
          <w:bCs/>
          <w:kern w:val="0"/>
          <w:sz w:val="32"/>
          <w:szCs w:val="32"/>
          <w:shd w:val="clear" w:color="auto" w:fill="FFFFFF"/>
          <w14:ligatures w14:val="none"/>
        </w:rPr>
        <w:t>第六条</w:t>
      </w:r>
      <w:bookmarkEnd w:id="0"/>
      <w:r>
        <w:rPr>
          <w:rFonts w:hint="eastAsia" w:ascii="楷体" w:hAnsi="楷体" w:eastAsia="楷体" w:cs="楷体"/>
          <w:b/>
          <w:bCs/>
          <w:kern w:val="0"/>
          <w:sz w:val="32"/>
          <w:szCs w:val="32"/>
          <w:shd w:val="clear" w:color="auto" w:fill="FFFFFF"/>
          <w14:ligatures w14:val="none"/>
        </w:rPr>
        <w:t>【存量项目】</w:t>
      </w:r>
      <w:r>
        <w:rPr>
          <w:rFonts w:hint="eastAsia" w:ascii="黑体" w:hAnsi="黑体" w:eastAsia="黑体" w:cs="黑体"/>
          <w:kern w:val="0"/>
          <w:sz w:val="32"/>
          <w:szCs w:val="32"/>
          <w:shd w:val="clear" w:color="auto" w:fill="FFFFFF"/>
          <w14:ligatures w14:val="none"/>
        </w:rPr>
        <w:t xml:space="preserve"> </w:t>
      </w:r>
      <w:bookmarkStart w:id="1" w:name="_Hlk206667117"/>
      <w:r>
        <w:rPr>
          <w:rFonts w:hint="eastAsia" w:ascii="仿宋_GB2312" w:hAnsi="仿宋_GB2312" w:eastAsia="仿宋_GB2312" w:cs="仿宋_GB2312"/>
          <w:sz w:val="32"/>
          <w:szCs w:val="32"/>
          <w:lang w:bidi="ar"/>
        </w:rPr>
        <w:t>新能源上网电价市场化改革前具有保障性质的存量项目纳入我省存量项目机制电量规模。为保障平稳过渡，</w:t>
      </w:r>
      <w:r>
        <w:rPr>
          <w:rFonts w:hint="eastAsia" w:ascii="仿宋_GB2312" w:hAnsi="仿宋_GB2312" w:eastAsia="仿宋_GB2312" w:cs="仿宋_GB2312"/>
          <w:sz w:val="32"/>
          <w:szCs w:val="32"/>
          <w:lang w:val="en-US" w:eastAsia="zh-CN" w:bidi="ar"/>
        </w:rPr>
        <w:t>对2021年1月1日以后投产的平价风电和光伏项目，</w:t>
      </w:r>
      <w:r>
        <w:rPr>
          <w:rFonts w:hint="eastAsia" w:ascii="仿宋_GB2312" w:hAnsi="仿宋_GB2312" w:eastAsia="仿宋_GB2312" w:cs="仿宋_GB2312"/>
          <w:sz w:val="32"/>
          <w:szCs w:val="32"/>
          <w:lang w:bidi="ar"/>
        </w:rPr>
        <w:t>适度给予机制电量</w:t>
      </w:r>
      <w:r>
        <w:rPr>
          <w:rFonts w:hint="eastAsia" w:ascii="仿宋_GB2312" w:hAnsi="仿宋_GB2312" w:eastAsia="仿宋_GB2312" w:cs="仿宋_GB2312"/>
          <w:sz w:val="32"/>
          <w:szCs w:val="32"/>
          <w:lang w:val="en-US" w:eastAsia="zh-CN" w:bidi="ar"/>
        </w:rPr>
        <w:t>进行保障</w:t>
      </w:r>
      <w:r>
        <w:rPr>
          <w:rFonts w:hint="eastAsia" w:ascii="仿宋_GB2312" w:hAnsi="仿宋_GB2312" w:eastAsia="仿宋_GB2312" w:cs="仿宋_GB2312"/>
          <w:sz w:val="32"/>
          <w:szCs w:val="32"/>
          <w:lang w:bidi="ar"/>
        </w:rPr>
        <w:t>，按装机容量等比例分配。机制电价水平衔接现行电价水平。</w:t>
      </w:r>
    </w:p>
    <w:bookmarkEnd w:id="1"/>
    <w:p w14:paraId="230A0780">
      <w:pPr>
        <w:spacing w:after="0" w:line="576" w:lineRule="exact"/>
        <w:ind w:firstLine="643" w:firstLineChars="200"/>
        <w:rPr>
          <w:rFonts w:hint="eastAsia" w:ascii="仿宋_GB2312" w:hAnsi="仿宋_GB2312" w:eastAsia="仿宋_GB2312" w:cs="仿宋_GB2312"/>
          <w:sz w:val="32"/>
          <w:szCs w:val="32"/>
          <w:lang w:bidi="ar"/>
        </w:rPr>
      </w:pPr>
      <w:bookmarkStart w:id="2" w:name="OLE_LINK5"/>
      <w:r>
        <w:rPr>
          <w:rFonts w:hint="eastAsia" w:ascii="楷体" w:hAnsi="楷体" w:eastAsia="楷体" w:cs="楷体"/>
          <w:b/>
          <w:bCs/>
          <w:kern w:val="0"/>
          <w:sz w:val="32"/>
          <w:szCs w:val="32"/>
          <w:shd w:val="clear" w:color="auto" w:fill="FFFFFF"/>
          <w14:ligatures w14:val="none"/>
        </w:rPr>
        <w:t>第七条</w:t>
      </w:r>
      <w:bookmarkEnd w:id="2"/>
      <w:r>
        <w:rPr>
          <w:rFonts w:hint="eastAsia" w:ascii="楷体" w:hAnsi="楷体" w:eastAsia="楷体" w:cs="楷体"/>
          <w:b/>
          <w:bCs/>
          <w:kern w:val="0"/>
          <w:sz w:val="32"/>
          <w:szCs w:val="32"/>
          <w:shd w:val="clear" w:color="auto" w:fill="FFFFFF"/>
          <w14:ligatures w14:val="none"/>
        </w:rPr>
        <w:t>【增量项目】</w:t>
      </w:r>
      <w:r>
        <w:rPr>
          <w:rFonts w:hint="eastAsia" w:ascii="仿宋_GB2312" w:hAnsi="仿宋_GB2312" w:eastAsia="仿宋_GB2312" w:cs="仿宋_GB2312"/>
          <w:sz w:val="32"/>
          <w:szCs w:val="32"/>
          <w:lang w:bidi="ar"/>
        </w:rPr>
        <w:t>首年新增纳入机制的电量规模通过现有新能源非市场化比例与促进新能源企业投资等因素综合确定。后续年份电量规模综合年度非水可再生能源电力消纳责任权重完成情况、用户承受能力和支持新能源发展需要确定。纳入机制电量的项目、电量规模和电价水平通过市场化竞争的方式形成。</w:t>
      </w:r>
    </w:p>
    <w:p w14:paraId="4BFF1465">
      <w:pPr>
        <w:pStyle w:val="6"/>
        <w:numPr>
          <w:ilvl w:val="255"/>
          <w:numId w:val="0"/>
        </w:numPr>
        <w:spacing w:after="0" w:line="576" w:lineRule="exact"/>
        <w:jc w:val="center"/>
        <w:rPr>
          <w:rFonts w:hint="eastAsia" w:ascii="黑体" w:hAnsi="黑体" w:eastAsia="黑体"/>
          <w:sz w:val="32"/>
          <w:szCs w:val="32"/>
        </w:rPr>
      </w:pPr>
      <w:r>
        <w:rPr>
          <w:rFonts w:hint="eastAsia" w:ascii="黑体" w:hAnsi="黑体" w:eastAsia="黑体"/>
          <w:sz w:val="32"/>
          <w:szCs w:val="32"/>
        </w:rPr>
        <w:t>第三章  结算方式</w:t>
      </w:r>
    </w:p>
    <w:p w14:paraId="62531FE3">
      <w:pPr>
        <w:adjustRightInd w:val="0"/>
        <w:snapToGrid w:val="0"/>
        <w:spacing w:after="0" w:line="576" w:lineRule="exact"/>
        <w:ind w:firstLine="643" w:firstLineChars="200"/>
        <w:rPr>
          <w:rFonts w:hint="eastAsia" w:ascii="仿宋_GB2312" w:hAnsi="仿宋_GB2312" w:eastAsia="仿宋_GB2312" w:cs="仿宋_GB2312"/>
          <w:sz w:val="32"/>
          <w:szCs w:val="32"/>
          <w:lang w:bidi="ar"/>
        </w:rPr>
      </w:pPr>
      <w:r>
        <w:rPr>
          <w:rFonts w:hint="eastAsia" w:ascii="楷体" w:hAnsi="楷体" w:eastAsia="楷体" w:cs="楷体"/>
          <w:b/>
          <w:bCs/>
          <w:kern w:val="0"/>
          <w:sz w:val="32"/>
          <w:szCs w:val="32"/>
          <w:shd w:val="clear" w:color="auto" w:fill="FFFFFF"/>
          <w14:ligatures w14:val="none"/>
        </w:rPr>
        <w:t>第八条【执行电量】</w:t>
      </w:r>
      <w:r>
        <w:rPr>
          <w:rFonts w:hint="eastAsia" w:ascii="仿宋_GB2312" w:hAnsi="仿宋_GB2312" w:eastAsia="仿宋_GB2312" w:cs="仿宋_GB2312"/>
          <w:sz w:val="32"/>
          <w:szCs w:val="32"/>
          <w:lang w:bidi="ar"/>
        </w:rPr>
        <w:t>单个项目每年纳入机制的电量按竞价通知明确的比例分解至月度，实际上网电量低于当月分解电量的，按实际上网电量结算，并在年内滚动清算</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当月累计已结算机制电量达到年度机制电量规模</w:t>
      </w:r>
      <w:r>
        <w:rPr>
          <w:rFonts w:hint="eastAsia" w:ascii="仿宋_GB2312" w:hAnsi="仿宋_GB2312" w:eastAsia="仿宋_GB2312" w:cs="仿宋_GB2312"/>
          <w:sz w:val="32"/>
          <w:szCs w:val="32"/>
          <w:lang w:val="en-US" w:eastAsia="zh-CN" w:bidi="ar"/>
        </w:rPr>
        <w:t>的</w:t>
      </w:r>
      <w:r>
        <w:rPr>
          <w:rFonts w:hint="eastAsia" w:ascii="仿宋_GB2312" w:hAnsi="仿宋_GB2312" w:eastAsia="仿宋_GB2312" w:cs="仿宋_GB2312"/>
          <w:sz w:val="32"/>
          <w:szCs w:val="32"/>
          <w:lang w:bidi="ar"/>
        </w:rPr>
        <w:t>，当月超</w:t>
      </w:r>
      <w:r>
        <w:rPr>
          <w:rFonts w:hint="eastAsia" w:ascii="仿宋_GB2312" w:hAnsi="仿宋_GB2312" w:eastAsia="仿宋_GB2312" w:cs="仿宋_GB2312"/>
          <w:sz w:val="32"/>
          <w:szCs w:val="32"/>
          <w:lang w:val="en-US" w:eastAsia="zh-CN" w:bidi="ar"/>
        </w:rPr>
        <w:t>出</w:t>
      </w:r>
      <w:r>
        <w:rPr>
          <w:rFonts w:hint="eastAsia" w:ascii="仿宋_GB2312" w:hAnsi="仿宋_GB2312" w:eastAsia="仿宋_GB2312" w:cs="仿宋_GB2312"/>
          <w:sz w:val="32"/>
          <w:szCs w:val="32"/>
          <w:lang w:bidi="ar"/>
        </w:rPr>
        <w:t>部分及后续月不再执行机制电价</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至</w:t>
      </w:r>
      <w:r>
        <w:rPr>
          <w:rFonts w:hint="eastAsia" w:ascii="仿宋_GB2312" w:hAnsi="仿宋_GB2312" w:eastAsia="仿宋_GB2312" w:cs="仿宋_GB2312"/>
          <w:sz w:val="32"/>
          <w:szCs w:val="32"/>
          <w:lang w:bidi="ar"/>
        </w:rPr>
        <w:t>年底仍未达到年度机制电量规模</w:t>
      </w:r>
      <w:r>
        <w:rPr>
          <w:rFonts w:hint="eastAsia" w:ascii="仿宋_GB2312" w:hAnsi="仿宋_GB2312" w:eastAsia="仿宋_GB2312" w:cs="仿宋_GB2312"/>
          <w:sz w:val="32"/>
          <w:szCs w:val="32"/>
          <w:lang w:val="en-US" w:eastAsia="zh-CN" w:bidi="ar"/>
        </w:rPr>
        <w:t>的</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val="en-US" w:eastAsia="zh-CN" w:bidi="ar"/>
        </w:rPr>
        <w:t>剩余</w:t>
      </w:r>
      <w:r>
        <w:rPr>
          <w:rFonts w:hint="eastAsia" w:ascii="仿宋_GB2312" w:hAnsi="仿宋_GB2312" w:eastAsia="仿宋_GB2312" w:cs="仿宋_GB2312"/>
          <w:sz w:val="32"/>
          <w:szCs w:val="32"/>
          <w:lang w:bidi="ar"/>
        </w:rPr>
        <w:t>部分电量不再执行机制电价，</w:t>
      </w:r>
      <w:r>
        <w:rPr>
          <w:rFonts w:hint="eastAsia" w:ascii="仿宋_GB2312" w:hAnsi="仿宋_GB2312" w:eastAsia="仿宋_GB2312" w:cs="仿宋_GB2312"/>
          <w:sz w:val="32"/>
          <w:szCs w:val="32"/>
          <w:lang w:val="en-US" w:eastAsia="zh-CN" w:bidi="ar"/>
        </w:rPr>
        <w:t>且</w:t>
      </w:r>
      <w:r>
        <w:rPr>
          <w:rFonts w:hint="eastAsia" w:ascii="仿宋_GB2312" w:hAnsi="仿宋_GB2312" w:eastAsia="仿宋_GB2312" w:cs="仿宋_GB2312"/>
          <w:sz w:val="32"/>
          <w:szCs w:val="32"/>
          <w:lang w:bidi="ar"/>
        </w:rPr>
        <w:t>不进行跨年滚动。</w:t>
      </w:r>
    </w:p>
    <w:p w14:paraId="42DF52EB">
      <w:pPr>
        <w:adjustRightInd w:val="0"/>
        <w:snapToGrid w:val="0"/>
        <w:spacing w:after="0" w:line="576" w:lineRule="exact"/>
        <w:ind w:firstLine="643" w:firstLineChars="200"/>
        <w:rPr>
          <w:rFonts w:hint="eastAsia" w:ascii="仿宋_GB2312" w:hAnsi="仿宋_GB2312" w:eastAsia="仿宋_GB2312" w:cs="仿宋_GB2312"/>
          <w:sz w:val="32"/>
          <w:szCs w:val="32"/>
          <w:lang w:bidi="ar"/>
        </w:rPr>
      </w:pPr>
      <w:r>
        <w:rPr>
          <w:rFonts w:hint="eastAsia" w:ascii="楷体" w:hAnsi="楷体" w:eastAsia="楷体" w:cs="楷体"/>
          <w:b/>
          <w:bCs/>
          <w:kern w:val="0"/>
          <w:sz w:val="32"/>
          <w:szCs w:val="32"/>
          <w:shd w:val="clear" w:color="auto" w:fill="FFFFFF"/>
          <w14:ligatures w14:val="none"/>
        </w:rPr>
        <w:t>第九条【差价结算】</w:t>
      </w:r>
      <w:r>
        <w:rPr>
          <w:rFonts w:hint="eastAsia" w:ascii="仿宋_GB2312" w:hAnsi="仿宋_GB2312" w:eastAsia="仿宋_GB2312" w:cs="仿宋_GB2312"/>
          <w:sz w:val="32"/>
          <w:szCs w:val="32"/>
          <w:lang w:bidi="ar"/>
        </w:rPr>
        <w:t>纳入机制的电量，</w:t>
      </w:r>
      <w:r>
        <w:rPr>
          <w:rFonts w:hint="eastAsia" w:ascii="仿宋_GB2312" w:hAnsi="仿宋_GB2312" w:eastAsia="仿宋_GB2312" w:cs="仿宋_GB2312"/>
          <w:sz w:val="32"/>
          <w:szCs w:val="32"/>
          <w:lang w:val="en-US" w:eastAsia="zh-CN" w:bidi="ar"/>
        </w:rPr>
        <w:t>由</w:t>
      </w:r>
      <w:r>
        <w:rPr>
          <w:rFonts w:hint="eastAsia" w:ascii="仿宋_GB2312" w:hAnsi="仿宋_GB2312" w:eastAsia="仿宋_GB2312" w:cs="仿宋_GB2312"/>
          <w:sz w:val="32"/>
          <w:szCs w:val="32"/>
          <w:lang w:bidi="ar"/>
        </w:rPr>
        <w:t>电网企业每月按机制电价开展差价结算，低于或高于市场交易均价</w:t>
      </w:r>
      <w:r>
        <w:rPr>
          <w:rFonts w:hint="eastAsia" w:ascii="仿宋_GB2312" w:hAnsi="仿宋_GB2312" w:eastAsia="仿宋_GB2312" w:cs="仿宋_GB2312"/>
          <w:sz w:val="32"/>
          <w:szCs w:val="32"/>
          <w:lang w:val="en-US" w:eastAsia="zh-CN" w:bidi="ar"/>
        </w:rPr>
        <w:t>的</w:t>
      </w:r>
      <w:r>
        <w:rPr>
          <w:rFonts w:hint="eastAsia" w:ascii="仿宋_GB2312" w:hAnsi="仿宋_GB2312" w:eastAsia="仿宋_GB2312" w:cs="仿宋_GB2312"/>
          <w:sz w:val="32"/>
          <w:szCs w:val="32"/>
          <w:lang w:bidi="ar"/>
        </w:rPr>
        <w:t>差价电费纳入系统运行费，由省内全体工商业用户公平分摊</w:t>
      </w:r>
      <w:r>
        <w:rPr>
          <w:rFonts w:hint="eastAsia" w:ascii="仿宋_GB2312" w:hAnsi="仿宋_GB2312" w:eastAsia="仿宋_GB2312" w:cs="仿宋_GB2312"/>
          <w:sz w:val="32"/>
          <w:szCs w:val="32"/>
          <w:lang w:val="en-US" w:eastAsia="zh-CN" w:bidi="ar"/>
        </w:rPr>
        <w:t>分享</w:t>
      </w:r>
      <w:r>
        <w:rPr>
          <w:rFonts w:hint="eastAsia" w:ascii="仿宋_GB2312" w:hAnsi="仿宋_GB2312" w:eastAsia="仿宋_GB2312" w:cs="仿宋_GB2312"/>
          <w:sz w:val="32"/>
          <w:szCs w:val="32"/>
          <w:lang w:bidi="ar"/>
        </w:rPr>
        <w:t>。其他形式的差价结算</w:t>
      </w:r>
      <w:r>
        <w:rPr>
          <w:rFonts w:hint="eastAsia" w:ascii="仿宋_GB2312" w:hAnsi="仿宋_GB2312" w:eastAsia="仿宋_GB2312" w:cs="仿宋_GB2312"/>
          <w:sz w:val="32"/>
          <w:szCs w:val="32"/>
          <w:lang w:val="en-US" w:eastAsia="zh-CN" w:bidi="ar"/>
        </w:rPr>
        <w:t>按照国家发展改革委有关要求执行</w:t>
      </w:r>
      <w:r>
        <w:rPr>
          <w:rFonts w:hint="eastAsia" w:ascii="仿宋_GB2312" w:hAnsi="仿宋_GB2312" w:eastAsia="仿宋_GB2312" w:cs="仿宋_GB2312"/>
          <w:sz w:val="32"/>
          <w:szCs w:val="32"/>
          <w:lang w:bidi="ar"/>
        </w:rPr>
        <w:t>。</w:t>
      </w:r>
    </w:p>
    <w:p w14:paraId="20C982EB">
      <w:pPr>
        <w:adjustRightInd w:val="0"/>
        <w:snapToGrid w:val="0"/>
        <w:spacing w:after="0" w:line="576"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计算公式：机制电量差价</w:t>
      </w:r>
      <w:r>
        <w:rPr>
          <w:rFonts w:hint="eastAsia" w:ascii="仿宋_GB2312" w:hAnsi="仿宋_GB2312" w:eastAsia="仿宋_GB2312" w:cs="仿宋_GB2312"/>
          <w:sz w:val="32"/>
          <w:szCs w:val="32"/>
          <w:lang w:eastAsia="zh" w:bidi="ar"/>
        </w:rPr>
        <w:t>电费</w:t>
      </w:r>
      <w:r>
        <w:rPr>
          <w:rFonts w:hint="eastAsia" w:ascii="仿宋_GB2312" w:hAnsi="仿宋_GB2312" w:eastAsia="仿宋_GB2312" w:cs="仿宋_GB2312"/>
          <w:sz w:val="32"/>
          <w:szCs w:val="32"/>
          <w:lang w:bidi="ar"/>
        </w:rPr>
        <w:t>=机制电量×（机制电价-同类型新能源市场交易均价）</w:t>
      </w:r>
    </w:p>
    <w:p w14:paraId="2F919EF3">
      <w:pPr>
        <w:adjustRightInd w:val="0"/>
        <w:snapToGrid w:val="0"/>
        <w:spacing w:after="0" w:line="576"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同类型新能源市场交易均价：电力现货市场未连续运行前（含现货试结算期间），按照省内当月（含年度、多月分解电量）发电侧中长期交易同类项目加权平均价确定。电力现货市场连续运行后，按照青海电力现货市场当月发电侧实时市场同类项目加权平均价确定。</w:t>
      </w:r>
      <w:r>
        <w:rPr>
          <w:rFonts w:hint="eastAsia" w:ascii="仿宋_GB2312" w:hAnsi="仿宋_GB2312" w:eastAsia="仿宋_GB2312" w:cs="仿宋_GB2312"/>
          <w:sz w:val="32"/>
          <w:szCs w:val="32"/>
          <w:lang w:val="en-US" w:eastAsia="zh-CN" w:bidi="ar"/>
        </w:rPr>
        <w:t>具体市场交易均价</w:t>
      </w:r>
      <w:r>
        <w:rPr>
          <w:rFonts w:hint="eastAsia" w:ascii="仿宋_GB2312" w:hAnsi="仿宋_GB2312" w:eastAsia="仿宋_GB2312" w:cs="仿宋_GB2312"/>
          <w:sz w:val="32"/>
          <w:szCs w:val="32"/>
          <w:lang w:bidi="ar"/>
        </w:rPr>
        <w:t>由电力交易机构按月发布。</w:t>
      </w:r>
    </w:p>
    <w:p w14:paraId="3A55DE12">
      <w:pPr>
        <w:adjustRightInd w:val="0"/>
        <w:snapToGrid w:val="0"/>
        <w:spacing w:after="0" w:line="576" w:lineRule="exact"/>
        <w:ind w:firstLine="643" w:firstLineChars="200"/>
        <w:rPr>
          <w:rFonts w:hint="eastAsia" w:ascii="仿宋_GB2312" w:hAnsi="仿宋_GB2312" w:eastAsia="仿宋_GB2312" w:cs="仿宋_GB2312"/>
          <w:sz w:val="32"/>
          <w:szCs w:val="32"/>
          <w:lang w:bidi="ar"/>
        </w:rPr>
      </w:pPr>
      <w:bookmarkStart w:id="3" w:name="OLE_LINK6"/>
      <w:r>
        <w:rPr>
          <w:rFonts w:hint="eastAsia" w:ascii="楷体" w:hAnsi="楷体" w:eastAsia="楷体" w:cs="楷体"/>
          <w:b/>
          <w:bCs/>
          <w:kern w:val="0"/>
          <w:sz w:val="32"/>
          <w:szCs w:val="32"/>
          <w:shd w:val="clear" w:color="auto" w:fill="FFFFFF"/>
          <w14:ligatures w14:val="none"/>
        </w:rPr>
        <w:t>第十条</w:t>
      </w:r>
      <w:bookmarkEnd w:id="3"/>
      <w:r>
        <w:rPr>
          <w:rFonts w:hint="eastAsia" w:ascii="楷体" w:hAnsi="楷体" w:eastAsia="楷体" w:cs="楷体"/>
          <w:b/>
          <w:bCs/>
          <w:kern w:val="0"/>
          <w:sz w:val="32"/>
          <w:szCs w:val="32"/>
          <w:shd w:val="clear" w:color="auto" w:fill="FFFFFF"/>
          <w14:ligatures w14:val="none"/>
        </w:rPr>
        <w:t>【结算周期】</w:t>
      </w:r>
      <w:r>
        <w:rPr>
          <w:rFonts w:hint="eastAsia" w:ascii="仿宋_GB2312" w:hAnsi="仿宋_GB2312" w:eastAsia="仿宋_GB2312" w:cs="仿宋_GB2312"/>
          <w:sz w:val="32"/>
          <w:szCs w:val="32"/>
          <w:lang w:bidi="ar"/>
        </w:rPr>
        <w:t>新能源机制电价差价电费以自然月为周期，纳入新能源项目当月上网电费。电网企业应</w:t>
      </w:r>
      <w:r>
        <w:rPr>
          <w:rFonts w:hint="eastAsia" w:ascii="仿宋_GB2312" w:hAnsi="仿宋_GB2312" w:eastAsia="仿宋_GB2312" w:cs="仿宋_GB2312"/>
          <w:sz w:val="32"/>
          <w:szCs w:val="32"/>
          <w:lang w:val="en-US" w:eastAsia="zh-CN" w:bidi="ar"/>
        </w:rPr>
        <w:t>当</w:t>
      </w:r>
      <w:r>
        <w:rPr>
          <w:rFonts w:hint="eastAsia" w:ascii="仿宋_GB2312" w:hAnsi="仿宋_GB2312" w:eastAsia="仿宋_GB2312" w:cs="仿宋_GB2312"/>
          <w:sz w:val="32"/>
          <w:szCs w:val="32"/>
          <w:lang w:bidi="ar"/>
        </w:rPr>
        <w:t>按照相关结算要求，在上网电费结算单中详细列明差价协议电量、机制电价、月度市场交易均价及差价电费结算金额，开展电费结算、支付。</w:t>
      </w:r>
    </w:p>
    <w:p w14:paraId="22A2D87A">
      <w:pPr>
        <w:adjustRightInd w:val="0"/>
        <w:snapToGrid w:val="0"/>
        <w:spacing w:after="0" w:line="576" w:lineRule="exact"/>
        <w:jc w:val="center"/>
        <w:rPr>
          <w:rFonts w:hint="eastAsia" w:ascii="黑体" w:hAnsi="黑体" w:eastAsia="黑体"/>
          <w:sz w:val="32"/>
          <w:szCs w:val="32"/>
        </w:rPr>
      </w:pPr>
      <w:r>
        <w:rPr>
          <w:rFonts w:hint="eastAsia" w:ascii="黑体" w:hAnsi="黑体" w:eastAsia="黑体"/>
          <w:sz w:val="32"/>
          <w:szCs w:val="32"/>
        </w:rPr>
        <w:t>第四章  执行期限</w:t>
      </w:r>
    </w:p>
    <w:p w14:paraId="353FFF24">
      <w:pPr>
        <w:adjustRightInd w:val="0"/>
        <w:snapToGrid w:val="0"/>
        <w:spacing w:after="0" w:line="576" w:lineRule="exact"/>
        <w:ind w:firstLine="643" w:firstLineChars="200"/>
        <w:rPr>
          <w:rFonts w:hint="eastAsia" w:ascii="仿宋_GB2312" w:hAnsi="仿宋_GB2312" w:eastAsia="仿宋_GB2312" w:cs="仿宋_GB2312"/>
          <w:sz w:val="32"/>
          <w:szCs w:val="32"/>
          <w:lang w:bidi="ar"/>
        </w:rPr>
      </w:pPr>
      <w:r>
        <w:rPr>
          <w:rFonts w:hint="eastAsia" w:ascii="楷体" w:hAnsi="楷体" w:eastAsia="楷体" w:cs="楷体"/>
          <w:b/>
          <w:bCs/>
          <w:kern w:val="0"/>
          <w:sz w:val="32"/>
          <w:szCs w:val="32"/>
          <w:shd w:val="clear" w:color="auto" w:fill="FFFFFF"/>
          <w14:ligatures w14:val="none"/>
        </w:rPr>
        <w:t>第十一条【存量项目】</w:t>
      </w:r>
      <w:bookmarkStart w:id="4" w:name="_Hlk206677632"/>
      <w:bookmarkStart w:id="5" w:name="_Hlk206667062"/>
      <w:r>
        <w:rPr>
          <w:rFonts w:hint="eastAsia" w:ascii="仿宋_GB2312" w:hAnsi="仿宋_GB2312" w:eastAsia="仿宋_GB2312" w:cs="仿宋_GB2312"/>
          <w:sz w:val="32"/>
          <w:szCs w:val="32"/>
          <w:lang w:bidi="ar"/>
        </w:rPr>
        <w:t>具有保障性质的存量项目</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按照政策开始执行时剩余全生命周期合理利用小时数对应年份与投产满20年对应年份两者较早者确定。平价项目按照投产满12年确定。执行期限到期后，新能源项目对应的机制电量规模自动从全省机制电量规模</w:t>
      </w:r>
      <w:r>
        <w:rPr>
          <w:rFonts w:hint="eastAsia" w:ascii="仿宋_GB2312" w:hAnsi="仿宋_GB2312" w:eastAsia="仿宋_GB2312" w:cs="仿宋_GB2312"/>
          <w:sz w:val="32"/>
          <w:szCs w:val="32"/>
          <w:lang w:val="en-US" w:eastAsia="zh-CN" w:bidi="ar"/>
        </w:rPr>
        <w:t>移出</w:t>
      </w:r>
      <w:r>
        <w:rPr>
          <w:rFonts w:hint="eastAsia" w:ascii="仿宋_GB2312" w:hAnsi="仿宋_GB2312" w:eastAsia="仿宋_GB2312" w:cs="仿宋_GB2312"/>
          <w:sz w:val="32"/>
          <w:szCs w:val="32"/>
          <w:lang w:bidi="ar"/>
        </w:rPr>
        <w:t>。</w:t>
      </w:r>
    </w:p>
    <w:bookmarkEnd w:id="4"/>
    <w:bookmarkEnd w:id="5"/>
    <w:p w14:paraId="32DA6CF0">
      <w:pPr>
        <w:adjustRightInd w:val="0"/>
        <w:snapToGrid w:val="0"/>
        <w:spacing w:after="0" w:line="576" w:lineRule="exact"/>
        <w:ind w:firstLine="643" w:firstLineChars="200"/>
        <w:rPr>
          <w:rFonts w:hint="eastAsia" w:ascii="仿宋_GB2312" w:hAnsi="仿宋_GB2312" w:eastAsia="仿宋_GB2312" w:cs="仿宋_GB2312"/>
          <w:sz w:val="32"/>
          <w:szCs w:val="32"/>
          <w:lang w:bidi="ar"/>
        </w:rPr>
      </w:pPr>
      <w:bookmarkStart w:id="6" w:name="OLE_LINK12"/>
      <w:r>
        <w:rPr>
          <w:rFonts w:hint="eastAsia" w:ascii="楷体" w:hAnsi="楷体" w:eastAsia="楷体" w:cs="楷体"/>
          <w:b/>
          <w:bCs/>
          <w:kern w:val="0"/>
          <w:sz w:val="32"/>
          <w:szCs w:val="32"/>
          <w:shd w:val="clear" w:color="auto" w:fill="FFFFFF"/>
          <w14:ligatures w14:val="none"/>
        </w:rPr>
        <w:t>第十二条</w:t>
      </w:r>
      <w:bookmarkEnd w:id="6"/>
      <w:r>
        <w:rPr>
          <w:rFonts w:hint="eastAsia" w:ascii="楷体" w:hAnsi="楷体" w:eastAsia="楷体" w:cs="楷体"/>
          <w:b/>
          <w:bCs/>
          <w:kern w:val="0"/>
          <w:sz w:val="32"/>
          <w:szCs w:val="32"/>
          <w:shd w:val="clear" w:color="auto" w:fill="FFFFFF"/>
          <w14:ligatures w14:val="none"/>
        </w:rPr>
        <w:t>【增量项目】</w:t>
      </w:r>
      <w:r>
        <w:rPr>
          <w:rFonts w:hint="eastAsia" w:ascii="仿宋_GB2312" w:hAnsi="仿宋_GB2312" w:eastAsia="仿宋_GB2312" w:cs="仿宋_GB2312"/>
          <w:sz w:val="32"/>
          <w:szCs w:val="32"/>
          <w:lang w:bidi="ar"/>
        </w:rPr>
        <w:t>增量新能源项目机制电价执行期限按照同类项目回收初始投资的平均期限等因素确定，在每年竞价通知中发布。</w:t>
      </w:r>
    </w:p>
    <w:p w14:paraId="2E7231E1">
      <w:pPr>
        <w:pStyle w:val="3"/>
        <w:spacing w:after="0" w:line="576" w:lineRule="exact"/>
        <w:ind w:firstLine="643" w:firstLineChars="200"/>
        <w:rPr>
          <w:rFonts w:hint="eastAsia" w:ascii="仿宋_GB2312" w:hAnsi="仿宋_GB2312" w:eastAsia="仿宋_GB2312" w:cs="仿宋_GB2312"/>
          <w:sz w:val="32"/>
          <w:szCs w:val="32"/>
          <w:lang w:eastAsia="zh-CN" w:bidi="ar"/>
        </w:rPr>
      </w:pPr>
      <w:r>
        <w:rPr>
          <w:rFonts w:hint="eastAsia" w:ascii="楷体" w:hAnsi="楷体" w:eastAsia="楷体" w:cs="楷体"/>
          <w:b/>
          <w:bCs/>
          <w:kern w:val="0"/>
          <w:sz w:val="32"/>
          <w:szCs w:val="32"/>
          <w:shd w:val="clear" w:color="auto" w:fill="FFFFFF"/>
          <w:lang w:eastAsia="zh-CN"/>
          <w14:ligatures w14:val="none"/>
        </w:rPr>
        <w:t>第十三条【容量变更】</w:t>
      </w:r>
      <w:r>
        <w:rPr>
          <w:rFonts w:hint="eastAsia" w:ascii="仿宋_GB2312" w:hAnsi="仿宋_GB2312" w:eastAsia="仿宋_GB2312" w:cs="仿宋_GB2312"/>
          <w:sz w:val="32"/>
          <w:szCs w:val="32"/>
          <w:lang w:eastAsia="zh-CN" w:bidi="ar"/>
        </w:rPr>
        <w:t>机制电价执行期内的新能源项目通过改造升级增容的，改造升级工期纳入机制电价执行期限，改造升级完成后，年度机制电量规模不作调</w:t>
      </w:r>
      <w:r>
        <w:rPr>
          <w:rFonts w:hint="eastAsia" w:ascii="仿宋_GB2312" w:hAnsi="仿宋_GB2312" w:eastAsia="仿宋_GB2312" w:cs="仿宋_GB2312"/>
          <w:sz w:val="32"/>
          <w:szCs w:val="32"/>
          <w:lang w:val="en-US" w:eastAsia="zh-CN" w:bidi="ar"/>
        </w:rPr>
        <w:t>增</w:t>
      </w:r>
      <w:r>
        <w:rPr>
          <w:rFonts w:hint="eastAsia" w:ascii="仿宋_GB2312" w:hAnsi="仿宋_GB2312" w:eastAsia="仿宋_GB2312" w:cs="仿宋_GB2312"/>
          <w:sz w:val="32"/>
          <w:szCs w:val="32"/>
          <w:lang w:eastAsia="zh-CN" w:bidi="ar"/>
        </w:rPr>
        <w:t>。减少装机容量的，按减容比例扣除机制电量。机制电量规模或经营主体发生变更的，应与电网企业重新签订差价协议。</w:t>
      </w:r>
    </w:p>
    <w:p w14:paraId="42793E4C">
      <w:pPr>
        <w:pStyle w:val="3"/>
        <w:spacing w:after="0" w:line="576" w:lineRule="exact"/>
        <w:ind w:firstLine="643" w:firstLineChars="200"/>
        <w:rPr>
          <w:rFonts w:hint="eastAsia" w:ascii="仿宋_GB2312" w:hAnsi="仿宋_GB2312" w:eastAsia="仿宋_GB2312" w:cs="仿宋_GB2312"/>
          <w:sz w:val="32"/>
          <w:szCs w:val="32"/>
          <w:lang w:eastAsia="zh-CN" w:bidi="ar"/>
        </w:rPr>
      </w:pPr>
      <w:r>
        <w:rPr>
          <w:rFonts w:hint="eastAsia" w:ascii="楷体" w:hAnsi="楷体" w:eastAsia="楷体" w:cs="楷体"/>
          <w:b/>
          <w:bCs/>
          <w:kern w:val="0"/>
          <w:sz w:val="32"/>
          <w:szCs w:val="32"/>
          <w:shd w:val="clear" w:color="auto" w:fill="FFFFFF"/>
          <w:lang w:eastAsia="zh-CN"/>
          <w14:ligatures w14:val="none"/>
        </w:rPr>
        <w:t>第十四条【退出机制</w:t>
      </w:r>
      <w:r>
        <w:rPr>
          <w:rFonts w:hint="eastAsia" w:ascii="楷体" w:hAnsi="楷体" w:eastAsia="楷体" w:cs="楷体"/>
          <w:b/>
          <w:bCs/>
          <w:sz w:val="32"/>
          <w:szCs w:val="32"/>
          <w:shd w:val="clear" w:color="auto" w:fill="FFFFFF"/>
          <w:lang w:eastAsia="zh-CN"/>
        </w:rPr>
        <w:t>】</w:t>
      </w:r>
      <w:r>
        <w:rPr>
          <w:rFonts w:hint="eastAsia" w:ascii="仿宋_GB2312" w:hAnsi="仿宋_GB2312" w:eastAsia="仿宋_GB2312" w:cs="仿宋_GB2312"/>
          <w:sz w:val="32"/>
          <w:szCs w:val="32"/>
          <w:lang w:eastAsia="zh-CN" w:bidi="ar"/>
        </w:rPr>
        <w:t>新能源项目在机制电价执行期限内，可向省发展改革委申请退出机制或减少机制电量。退出机制的，经批准后次月</w:t>
      </w:r>
      <w:r>
        <w:rPr>
          <w:rFonts w:hint="eastAsia" w:ascii="仿宋_GB2312" w:hAnsi="仿宋_GB2312" w:eastAsia="仿宋_GB2312" w:cs="仿宋_GB2312"/>
          <w:sz w:val="32"/>
          <w:szCs w:val="32"/>
          <w:lang w:val="en-US" w:eastAsia="zh-CN" w:bidi="ar"/>
        </w:rPr>
        <w:t>起</w:t>
      </w:r>
      <w:r>
        <w:rPr>
          <w:rFonts w:hint="eastAsia" w:ascii="仿宋_GB2312" w:hAnsi="仿宋_GB2312" w:eastAsia="仿宋_GB2312" w:cs="仿宋_GB2312"/>
          <w:sz w:val="32"/>
          <w:szCs w:val="32"/>
          <w:lang w:eastAsia="zh-CN" w:bidi="ar"/>
        </w:rPr>
        <w:t>不再执行机制电价；减少机制电量的，需在每年差价协议续签30日前提出申请，批准后由电网企业完成协议签约调整，自</w:t>
      </w:r>
      <w:r>
        <w:rPr>
          <w:rFonts w:hint="eastAsia" w:ascii="仿宋_GB2312" w:hAnsi="仿宋_GB2312" w:eastAsia="仿宋_GB2312" w:cs="仿宋_GB2312"/>
          <w:sz w:val="32"/>
          <w:szCs w:val="32"/>
          <w:lang w:val="en-US" w:eastAsia="zh-CN" w:bidi="ar"/>
        </w:rPr>
        <w:t>下一年度</w:t>
      </w:r>
      <w:r>
        <w:rPr>
          <w:rFonts w:hint="eastAsia" w:ascii="仿宋_GB2312" w:hAnsi="仿宋_GB2312" w:eastAsia="仿宋_GB2312" w:cs="仿宋_GB2312"/>
          <w:sz w:val="32"/>
          <w:szCs w:val="32"/>
          <w:lang w:eastAsia="zh-CN" w:bidi="ar"/>
        </w:rPr>
        <w:t>1月1日起按照调整后的差价协议执行，减少</w:t>
      </w:r>
      <w:r>
        <w:rPr>
          <w:rFonts w:hint="eastAsia" w:ascii="仿宋_GB2312" w:hAnsi="仿宋_GB2312" w:eastAsia="仿宋_GB2312" w:cs="仿宋_GB2312"/>
          <w:sz w:val="32"/>
          <w:szCs w:val="32"/>
          <w:lang w:val="en-US" w:eastAsia="zh-CN" w:bidi="ar"/>
        </w:rPr>
        <w:t>的</w:t>
      </w:r>
      <w:r>
        <w:rPr>
          <w:rFonts w:hint="eastAsia" w:ascii="仿宋_GB2312" w:hAnsi="仿宋_GB2312" w:eastAsia="仿宋_GB2312" w:cs="仿宋_GB2312"/>
          <w:sz w:val="32"/>
          <w:szCs w:val="32"/>
          <w:lang w:eastAsia="zh-CN" w:bidi="ar"/>
        </w:rPr>
        <w:t>机制电量不再纳入后续机制电量执行范围。</w:t>
      </w:r>
    </w:p>
    <w:p w14:paraId="6616EF0E">
      <w:pPr>
        <w:spacing w:after="0" w:line="576" w:lineRule="exact"/>
        <w:ind w:firstLine="643" w:firstLineChars="200"/>
        <w:rPr>
          <w:rFonts w:hint="eastAsia" w:ascii="仿宋_GB2312" w:hAnsi="仿宋_GB2312" w:eastAsia="仿宋_GB2312" w:cs="仿宋_GB2312"/>
          <w:sz w:val="32"/>
          <w:szCs w:val="32"/>
          <w:lang w:bidi="ar"/>
        </w:rPr>
      </w:pPr>
      <w:r>
        <w:rPr>
          <w:rFonts w:hint="eastAsia" w:ascii="楷体" w:hAnsi="楷体" w:eastAsia="楷体" w:cs="楷体"/>
          <w:b/>
          <w:bCs/>
          <w:sz w:val="32"/>
          <w:szCs w:val="32"/>
          <w:shd w:val="clear" w:color="auto" w:fill="FFFFFF"/>
        </w:rPr>
        <w:t>第十五条【信息报送】</w:t>
      </w:r>
      <w:r>
        <w:rPr>
          <w:rFonts w:hint="eastAsia" w:ascii="仿宋_GB2312" w:hAnsi="仿宋_GB2312" w:eastAsia="仿宋_GB2312" w:cs="仿宋_GB2312"/>
          <w:sz w:val="32"/>
          <w:szCs w:val="32"/>
          <w:lang w:bidi="ar"/>
        </w:rPr>
        <w:t>电网企业完成月度机制电量差价电费结算后，应按月跟踪、动态调整当年所有参与差价结算的新能源项目年度剩余机制电量，根据</w:t>
      </w:r>
      <w:r>
        <w:rPr>
          <w:rFonts w:hint="eastAsia" w:ascii="仿宋_GB2312" w:hAnsi="仿宋_GB2312" w:eastAsia="仿宋_GB2312" w:cs="仿宋_GB2312"/>
          <w:sz w:val="32"/>
          <w:szCs w:val="32"/>
          <w:lang w:val="en-US" w:eastAsia="zh-CN" w:bidi="ar"/>
        </w:rPr>
        <w:t>价格</w:t>
      </w:r>
      <w:r>
        <w:rPr>
          <w:rFonts w:hint="eastAsia" w:ascii="仿宋_GB2312" w:hAnsi="仿宋_GB2312" w:eastAsia="仿宋_GB2312" w:cs="仿宋_GB2312"/>
          <w:sz w:val="32"/>
          <w:szCs w:val="32"/>
          <w:lang w:bidi="ar"/>
        </w:rPr>
        <w:t>主管部门要求，按需做好信息报送。</w:t>
      </w:r>
    </w:p>
    <w:p w14:paraId="6377E3EE">
      <w:pPr>
        <w:spacing w:after="0" w:line="576" w:lineRule="exact"/>
        <w:jc w:val="center"/>
        <w:rPr>
          <w:rFonts w:hint="eastAsia" w:ascii="黑体" w:hAnsi="黑体" w:eastAsia="黑体"/>
          <w:sz w:val="32"/>
          <w:szCs w:val="32"/>
        </w:rPr>
      </w:pPr>
      <w:r>
        <w:rPr>
          <w:rFonts w:hint="eastAsia" w:ascii="黑体" w:hAnsi="黑体" w:eastAsia="黑体"/>
          <w:sz w:val="32"/>
          <w:szCs w:val="32"/>
        </w:rPr>
        <w:t>第五章  附则</w:t>
      </w:r>
    </w:p>
    <w:p w14:paraId="4695973F">
      <w:pPr>
        <w:spacing w:after="0" w:line="576" w:lineRule="exact"/>
        <w:ind w:firstLine="643" w:firstLineChars="200"/>
        <w:rPr>
          <w:rFonts w:hint="eastAsia" w:ascii="楷体" w:hAnsi="楷体" w:eastAsia="楷体" w:cs="楷体"/>
          <w:b/>
          <w:bCs/>
          <w:kern w:val="0"/>
          <w:sz w:val="32"/>
          <w:szCs w:val="32"/>
          <w:shd w:val="clear" w:color="auto" w:fill="FFFFFF"/>
          <w14:ligatures w14:val="none"/>
        </w:rPr>
      </w:pPr>
      <w:r>
        <w:rPr>
          <w:rFonts w:hint="eastAsia" w:ascii="楷体" w:hAnsi="楷体" w:eastAsia="楷体" w:cs="楷体"/>
          <w:b/>
          <w:bCs/>
          <w:kern w:val="0"/>
          <w:sz w:val="32"/>
          <w:szCs w:val="32"/>
          <w:shd w:val="clear" w:color="auto" w:fill="FFFFFF"/>
          <w14:ligatures w14:val="none"/>
        </w:rPr>
        <w:t>第十</w:t>
      </w:r>
      <w:r>
        <w:rPr>
          <w:rFonts w:hint="eastAsia" w:ascii="楷体" w:hAnsi="楷体" w:eastAsia="楷体" w:cs="楷体"/>
          <w:b/>
          <w:bCs/>
          <w:kern w:val="0"/>
          <w:sz w:val="32"/>
          <w:szCs w:val="32"/>
          <w:shd w:val="clear" w:color="auto" w:fill="FFFFFF"/>
          <w:lang w:val="en-US" w:eastAsia="zh-CN"/>
          <w14:ligatures w14:val="none"/>
        </w:rPr>
        <w:t>六</w:t>
      </w:r>
      <w:r>
        <w:rPr>
          <w:rFonts w:hint="eastAsia" w:ascii="楷体" w:hAnsi="楷体" w:eastAsia="楷体" w:cs="楷体"/>
          <w:b/>
          <w:bCs/>
          <w:kern w:val="0"/>
          <w:sz w:val="32"/>
          <w:szCs w:val="32"/>
          <w:shd w:val="clear" w:color="auto" w:fill="FFFFFF"/>
          <w14:ligatures w14:val="none"/>
        </w:rPr>
        <w:t>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本细则相关规定</w:t>
      </w:r>
      <w:r>
        <w:rPr>
          <w:rFonts w:hint="eastAsia" w:ascii="仿宋_GB2312" w:hAnsi="仿宋_GB2312" w:eastAsia="仿宋_GB2312" w:cs="仿宋_GB2312"/>
          <w:sz w:val="32"/>
          <w:szCs w:val="32"/>
          <w:lang w:bidi="ar"/>
        </w:rPr>
        <w:t>如遇国家政策调整，按国家政策执行。</w:t>
      </w:r>
      <w:r>
        <w:rPr>
          <w:rFonts w:hint="eastAsia" w:ascii="仿宋_GB2312" w:hAnsi="仿宋_GB2312" w:eastAsia="仿宋_GB2312" w:cs="仿宋_GB2312"/>
          <w:sz w:val="32"/>
          <w:szCs w:val="32"/>
          <w:shd w:val="clear" w:color="auto" w:fill="FFFFFF"/>
        </w:rPr>
        <w:t>省内现行政策规定与本细则不符的，以本细则为准。</w:t>
      </w:r>
    </w:p>
    <w:p w14:paraId="304C9F14">
      <w:pPr>
        <w:spacing w:after="0" w:line="576" w:lineRule="exact"/>
        <w:ind w:firstLine="643" w:firstLineChars="200"/>
        <w:rPr>
          <w:rFonts w:hint="eastAsia" w:ascii="仿宋_GB2312" w:hAnsi="仿宋_GB2312" w:eastAsia="仿宋_GB2312" w:cs="仿宋_GB2312"/>
          <w:sz w:val="32"/>
          <w:szCs w:val="32"/>
          <w:lang w:bidi="ar"/>
        </w:rPr>
      </w:pPr>
      <w:r>
        <w:rPr>
          <w:rFonts w:hint="eastAsia" w:ascii="楷体" w:hAnsi="楷体" w:eastAsia="楷体" w:cs="楷体"/>
          <w:b/>
          <w:bCs/>
          <w:kern w:val="0"/>
          <w:sz w:val="32"/>
          <w:szCs w:val="32"/>
          <w:shd w:val="clear" w:color="auto" w:fill="FFFFFF"/>
          <w14:ligatures w14:val="none"/>
        </w:rPr>
        <w:t xml:space="preserve">第十七条 </w:t>
      </w:r>
      <w:r>
        <w:rPr>
          <w:rFonts w:hint="eastAsia" w:ascii="仿宋_GB2312" w:hAnsi="仿宋_GB2312" w:eastAsia="仿宋_GB2312" w:cs="仿宋_GB2312"/>
          <w:sz w:val="32"/>
          <w:szCs w:val="32"/>
          <w:lang w:bidi="ar"/>
        </w:rPr>
        <w:t>本细则由省发展改革委、国家能源局西北监管局</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省能源局按职</w:t>
      </w:r>
      <w:r>
        <w:rPr>
          <w:rFonts w:hint="eastAsia" w:ascii="仿宋_GB2312" w:hAnsi="仿宋_GB2312" w:eastAsia="仿宋_GB2312" w:cs="仿宋_GB2312"/>
          <w:sz w:val="32"/>
          <w:szCs w:val="32"/>
          <w:lang w:val="en-US" w:eastAsia="zh-CN" w:bidi="ar"/>
        </w:rPr>
        <w:t>责</w:t>
      </w:r>
      <w:r>
        <w:rPr>
          <w:rFonts w:hint="eastAsia" w:ascii="仿宋_GB2312" w:hAnsi="仿宋_GB2312" w:eastAsia="仿宋_GB2312" w:cs="仿宋_GB2312"/>
          <w:sz w:val="32"/>
          <w:szCs w:val="32"/>
          <w:lang w:bidi="ar"/>
        </w:rPr>
        <w:t>分工解释。</w:t>
      </w:r>
    </w:p>
    <w:p w14:paraId="3E6F8A7B">
      <w:pPr>
        <w:spacing w:after="0" w:line="576" w:lineRule="exact"/>
        <w:ind w:firstLine="643" w:firstLineChars="200"/>
        <w:rPr>
          <w:rFonts w:hint="eastAsia" w:ascii="仿宋_GB2312" w:hAnsi="仿宋_GB2312" w:eastAsia="仿宋_GB2312" w:cs="仿宋_GB2312"/>
          <w:sz w:val="32"/>
          <w:szCs w:val="32"/>
          <w:shd w:val="clear" w:color="auto" w:fill="FFFFFF"/>
        </w:rPr>
      </w:pPr>
      <w:r>
        <w:rPr>
          <w:rFonts w:hint="eastAsia" w:ascii="楷体" w:hAnsi="楷体" w:eastAsia="楷体" w:cs="楷体"/>
          <w:b/>
          <w:bCs/>
          <w:kern w:val="0"/>
          <w:sz w:val="32"/>
          <w:szCs w:val="32"/>
          <w:shd w:val="clear" w:color="auto" w:fill="FFFFFF"/>
          <w14:ligatures w14:val="none"/>
        </w:rPr>
        <w:t>第十</w:t>
      </w:r>
      <w:r>
        <w:rPr>
          <w:rFonts w:hint="eastAsia" w:ascii="楷体" w:hAnsi="楷体" w:eastAsia="楷体" w:cs="楷体"/>
          <w:b/>
          <w:bCs/>
          <w:kern w:val="0"/>
          <w:sz w:val="32"/>
          <w:szCs w:val="32"/>
          <w:shd w:val="clear" w:color="auto" w:fill="FFFFFF"/>
          <w:lang w:val="en-US" w:eastAsia="zh-CN"/>
          <w14:ligatures w14:val="none"/>
        </w:rPr>
        <w:t>八</w:t>
      </w:r>
      <w:r>
        <w:rPr>
          <w:rFonts w:hint="eastAsia" w:ascii="楷体" w:hAnsi="楷体" w:eastAsia="楷体" w:cs="楷体"/>
          <w:b/>
          <w:bCs/>
          <w:kern w:val="0"/>
          <w:sz w:val="32"/>
          <w:szCs w:val="32"/>
          <w:shd w:val="clear" w:color="auto" w:fill="FFFFFF"/>
          <w14:ligatures w14:val="none"/>
        </w:rPr>
        <w:t>条</w:t>
      </w:r>
      <w:r>
        <w:rPr>
          <w:rFonts w:hint="eastAsia" w:ascii="仿宋_GB2312" w:hAnsi="仿宋_GB2312" w:eastAsia="仿宋_GB2312" w:cs="仿宋_GB2312"/>
          <w:sz w:val="32"/>
          <w:szCs w:val="32"/>
          <w:shd w:val="clear" w:color="auto" w:fill="FFFFFF"/>
        </w:rPr>
        <w:t xml:space="preserve"> 本细则自2025年  月  日起施行。</w:t>
      </w:r>
    </w:p>
    <w:p w14:paraId="287B17C1">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175C3010">
      <w:pPr>
        <w:adjustRightInd w:val="0"/>
        <w:snapToGrid w:val="0"/>
        <w:spacing w:line="580" w:lineRule="exact"/>
        <w:jc w:val="left"/>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国标小标宋">
    <w:altName w:val="宋体"/>
    <w:panose1 w:val="02000500000000000000"/>
    <w:charset w:val="86"/>
    <w:family w:val="auto"/>
    <w:pitch w:val="default"/>
    <w:sig w:usb0="00000000" w:usb1="00000000" w:usb2="00000000"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34B3B"/>
    <w:rsid w:val="57A3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Body Text"/>
    <w:basedOn w:val="1"/>
    <w:next w:val="1"/>
    <w:qFormat/>
    <w:uiPriority w:val="0"/>
    <w:pPr>
      <w:ind w:left="40"/>
    </w:pPr>
    <w:rPr>
      <w:rFonts w:ascii="Calibri" w:hAnsi="Calibri" w:eastAsia="宋体" w:cs="Times New Roman"/>
      <w:sz w:val="18"/>
      <w:szCs w:val="18"/>
      <w:lang w:eastAsia="en-U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2025-09-08T15:22:00Z</dcterms:created>
  <dc:creator>nanpeng</dc:creator>
  <cp:lastModifiedBy>nanpeng</cp:lastModifiedBy>
  <dcterms:modified xsi:type="dcterms:W3CDTF">2025-09-08T15:26:43Z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392C7F0D4CDE4828874B111CBDEB5C6D_11</vt:lpwstr>
  </property>
  <property fmtid="{D5CDD505-2E9C-101B-9397-08002B2CF9AE}" pid="4" name="KSOTemplateDocerSaveRecord">
    <vt:lpwstr>eyJoZGlkIjoiZTA4NzIyN2MxYTlmMzQ1NGE2MjU5NWRkMjhlOGMxYTAifQ==</vt:lpwstr>
  </property>
</Properties>
</file>